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89583">
      <w:pPr>
        <w:widowControl w:val="0"/>
        <w:spacing w:line="560" w:lineRule="exact"/>
        <w:ind w:firstLine="0" w:firstLineChars="0"/>
        <w:jc w:val="both"/>
        <w:rPr>
          <w:rFonts w:hint="eastAsia" w:ascii="黑体" w:hAnsi="黑体" w:eastAsia="黑体" w:cs="Times New Roman"/>
          <w:b/>
          <w:bCs/>
          <w:sz w:val="32"/>
          <w:szCs w:val="32"/>
          <w:highlight w:val="none"/>
        </w:rPr>
      </w:pPr>
      <w:bookmarkStart w:id="5" w:name="_GoBack"/>
      <w:r>
        <w:rPr>
          <w:rFonts w:hint="eastAsia" w:ascii="黑体" w:hAnsi="黑体" w:eastAsia="黑体" w:cs="Times New Roman"/>
          <w:b/>
          <w:bCs/>
          <w:sz w:val="32"/>
          <w:szCs w:val="32"/>
          <w:highlight w:val="none"/>
        </w:rPr>
        <w:t>附件</w:t>
      </w:r>
      <w:r>
        <w:rPr>
          <w:rFonts w:hint="eastAsia" w:ascii="黑体" w:hAnsi="黑体" w:eastAsia="黑体" w:cs="Times New Roman"/>
          <w:b/>
          <w:bCs/>
          <w:sz w:val="32"/>
          <w:szCs w:val="32"/>
          <w:highlight w:val="none"/>
        </w:rPr>
        <w:t>6</w:t>
      </w:r>
    </w:p>
    <w:bookmarkEnd w:id="5"/>
    <w:p w14:paraId="7B2CA844">
      <w:pPr>
        <w:widowControl/>
        <w:spacing w:before="191" w:beforeLines="50" w:after="191" w:afterLines="50" w:line="460" w:lineRule="exact"/>
        <w:contextualSpacing/>
        <w:rPr>
          <w:rFonts w:ascii="方正小标宋简体" w:hAnsi="FangSong" w:eastAsia="方正小标宋简体"/>
          <w:b w:val="0"/>
          <w:bCs/>
          <w:color w:val="000000"/>
          <w:kern w:val="0"/>
          <w:sz w:val="36"/>
          <w:szCs w:val="36"/>
        </w:rPr>
      </w:pPr>
      <w:r>
        <w:rPr>
          <w:rFonts w:hint="eastAsia" w:ascii="方正小标宋简体" w:hAnsi="FangSong" w:eastAsia="方正小标宋简体"/>
          <w:b w:val="0"/>
          <w:bCs/>
          <w:kern w:val="0"/>
          <w:sz w:val="36"/>
          <w:szCs w:val="36"/>
        </w:rPr>
        <w:t>优秀社团</w:t>
      </w:r>
      <w:r>
        <w:rPr>
          <w:rFonts w:hint="eastAsia" w:ascii="方正小标宋简体" w:hAnsi="FangSong" w:eastAsia="方正小标宋简体"/>
          <w:b w:val="0"/>
          <w:bCs/>
          <w:color w:val="000000"/>
          <w:kern w:val="0"/>
          <w:sz w:val="36"/>
          <w:szCs w:val="36"/>
        </w:rPr>
        <w:t>评选细则</w:t>
      </w:r>
    </w:p>
    <w:p w14:paraId="7B402532">
      <w:pPr>
        <w:pStyle w:val="3"/>
        <w:numPr>
          <w:ilvl w:val="0"/>
          <w:numId w:val="1"/>
        </w:numPr>
        <w:spacing w:before="95" w:beforeLines="25" w:after="95" w:afterLines="25" w:line="460" w:lineRule="exact"/>
        <w:ind w:firstLine="0" w:firstLineChars="0"/>
        <w:contextualSpacing/>
        <w:rPr>
          <w:rFonts w:ascii="黑体" w:hAnsi="黑体" w:eastAsia="黑体"/>
          <w:color w:val="000000"/>
          <w:kern w:val="0"/>
          <w:sz w:val="32"/>
          <w:szCs w:val="30"/>
        </w:rPr>
      </w:pPr>
      <w:r>
        <w:rPr>
          <w:rFonts w:hint="eastAsia" w:ascii="黑体" w:hAnsi="黑体" w:eastAsia="黑体"/>
          <w:color w:val="000000"/>
          <w:kern w:val="0"/>
          <w:sz w:val="32"/>
          <w:szCs w:val="30"/>
        </w:rPr>
        <w:t xml:space="preserve">  总  则</w:t>
      </w:r>
    </w:p>
    <w:p w14:paraId="66DFEFF7">
      <w:pPr>
        <w:widowControl/>
        <w:spacing w:line="460" w:lineRule="exact"/>
        <w:ind w:firstLine="640" w:firstLineChars="200"/>
        <w:contextualSpacing/>
        <w:jc w:val="both"/>
        <w:rPr>
          <w:rFonts w:ascii="仿宋_GB2312" w:hAnsi="FangSong" w:eastAsia="仿宋_GB2312"/>
          <w:b w:val="0"/>
          <w:color w:val="000000"/>
          <w:kern w:val="0"/>
          <w:szCs w:val="28"/>
        </w:rPr>
      </w:pPr>
      <w:r>
        <w:rPr>
          <w:rFonts w:hint="eastAsia" w:ascii="黑体" w:hAnsi="黑体" w:eastAsia="黑体"/>
          <w:b w:val="0"/>
          <w:color w:val="000000"/>
          <w:kern w:val="0"/>
          <w:sz w:val="32"/>
          <w:szCs w:val="28"/>
        </w:rPr>
        <w:t>第一条</w:t>
      </w:r>
      <w:r>
        <w:rPr>
          <w:rFonts w:hint="eastAsia" w:ascii="仿宋_GB2312" w:hAnsi="FangSong" w:eastAsia="仿宋_GB2312"/>
          <w:b w:val="0"/>
          <w:color w:val="000000"/>
          <w:kern w:val="0"/>
          <w:szCs w:val="28"/>
        </w:rPr>
        <w:t xml:space="preserve">  为寻</w:t>
      </w:r>
      <w:bookmarkStart w:id="0" w:name="OLE_LINK3"/>
      <w:r>
        <w:rPr>
          <w:rFonts w:hint="eastAsia" w:ascii="仿宋_GB2312" w:hAnsi="FangSong" w:eastAsia="仿宋_GB2312"/>
          <w:b w:val="0"/>
          <w:color w:val="000000"/>
          <w:kern w:val="0"/>
          <w:szCs w:val="28"/>
        </w:rPr>
        <w:t>找和表</w:t>
      </w:r>
      <w:bookmarkEnd w:id="0"/>
      <w:r>
        <w:rPr>
          <w:rFonts w:hint="eastAsia" w:ascii="仿宋_GB2312" w:hAnsi="FangSong" w:eastAsia="仿宋_GB2312"/>
          <w:b w:val="0"/>
          <w:color w:val="000000"/>
          <w:kern w:val="0"/>
          <w:szCs w:val="28"/>
        </w:rPr>
        <w:t>彰我校学生社团中的先进代表，发挥优秀社团在活跃校园科研学术氛围、丰富校园文化及促进校园精神文明建设等方面的模范带头作用，特制定本细则。</w:t>
      </w:r>
    </w:p>
    <w:p w14:paraId="3805B9DD">
      <w:pPr>
        <w:widowControl/>
        <w:spacing w:line="460" w:lineRule="exact"/>
        <w:ind w:firstLine="640" w:firstLineChars="200"/>
        <w:contextualSpacing/>
        <w:jc w:val="both"/>
        <w:rPr>
          <w:rFonts w:ascii="仿宋_GB2312" w:hAnsi="FangSong" w:eastAsia="仿宋_GB2312"/>
          <w:b w:val="0"/>
          <w:color w:val="000000"/>
          <w:kern w:val="0"/>
          <w:szCs w:val="28"/>
        </w:rPr>
      </w:pPr>
      <w:r>
        <w:rPr>
          <w:rFonts w:hint="eastAsia" w:ascii="黑体" w:hAnsi="黑体" w:eastAsia="黑体"/>
          <w:b w:val="0"/>
          <w:color w:val="000000"/>
          <w:kern w:val="0"/>
          <w:sz w:val="32"/>
          <w:szCs w:val="28"/>
        </w:rPr>
        <w:t>第二条</w:t>
      </w:r>
      <w:r>
        <w:rPr>
          <w:rFonts w:hint="eastAsia" w:ascii="仿宋_GB2312" w:hAnsi="FangSong" w:eastAsia="仿宋_GB2312"/>
          <w:b w:val="0"/>
          <w:color w:val="000000"/>
          <w:kern w:val="0"/>
          <w:szCs w:val="28"/>
        </w:rPr>
        <w:t xml:space="preserve">  评优本着公平、公正、公开的原则，通过客观、全面的综合评估，最终选出受到广大师生认可的学生社团。</w:t>
      </w:r>
    </w:p>
    <w:p w14:paraId="4EB812AD">
      <w:pPr>
        <w:widowControl/>
        <w:spacing w:line="460" w:lineRule="exact"/>
        <w:ind w:firstLine="640" w:firstLineChars="200"/>
        <w:contextualSpacing/>
        <w:jc w:val="both"/>
        <w:rPr>
          <w:rFonts w:ascii="仿宋_GB2312" w:hAnsi="FangSong" w:eastAsia="仿宋_GB2312"/>
          <w:b w:val="0"/>
          <w:color w:val="000000"/>
          <w:kern w:val="0"/>
          <w:szCs w:val="28"/>
        </w:rPr>
      </w:pPr>
      <w:r>
        <w:rPr>
          <w:rFonts w:hint="eastAsia" w:ascii="黑体" w:hAnsi="黑体" w:eastAsia="黑体"/>
          <w:b w:val="0"/>
          <w:color w:val="000000"/>
          <w:kern w:val="0"/>
          <w:sz w:val="32"/>
          <w:szCs w:val="28"/>
        </w:rPr>
        <w:t>第三条</w:t>
      </w:r>
      <w:r>
        <w:rPr>
          <w:rFonts w:hint="eastAsia" w:ascii="仿宋_GB2312" w:hAnsi="FangSong" w:eastAsia="仿宋_GB2312"/>
          <w:b w:val="0"/>
          <w:color w:val="000000"/>
          <w:kern w:val="0"/>
          <w:szCs w:val="28"/>
        </w:rPr>
        <w:t xml:space="preserve">  评优工作在校团委、挂靠分团委的共同指导下，由共青团中南财经政法大学委员会社团管理部（以下简称社团管理部）具体施行，评优遵循公平、公正、公开的原则，接受全校广大师生的监督。</w:t>
      </w:r>
    </w:p>
    <w:p w14:paraId="06B143F4">
      <w:pPr>
        <w:widowControl/>
        <w:spacing w:line="460" w:lineRule="exact"/>
        <w:ind w:firstLine="640" w:firstLineChars="200"/>
        <w:contextualSpacing/>
        <w:jc w:val="both"/>
        <w:rPr>
          <w:rFonts w:ascii="仿宋_GB2312" w:hAnsi="FangSong" w:eastAsia="仿宋_GB2312"/>
          <w:b w:val="0"/>
          <w:color w:val="000000"/>
          <w:kern w:val="0"/>
          <w:szCs w:val="28"/>
        </w:rPr>
      </w:pPr>
      <w:r>
        <w:rPr>
          <w:rFonts w:hint="eastAsia" w:ascii="黑体" w:hAnsi="黑体" w:eastAsia="黑体"/>
          <w:b w:val="0"/>
          <w:color w:val="000000"/>
          <w:kern w:val="0"/>
          <w:sz w:val="32"/>
          <w:szCs w:val="28"/>
        </w:rPr>
        <w:t>第四条</w:t>
      </w:r>
      <w:r>
        <w:rPr>
          <w:rFonts w:hint="eastAsia" w:ascii="仿宋_GB2312" w:hAnsi="FangSong" w:eastAsia="仿宋_GB2312"/>
          <w:b w:val="0"/>
          <w:color w:val="000000"/>
          <w:kern w:val="0"/>
          <w:szCs w:val="28"/>
        </w:rPr>
        <w:t xml:space="preserve">  各学生社团在评优工作中，须遵守学校的各项规章制度，积极配合社团管理部的工作，使评优工作得以顺利开展。</w:t>
      </w:r>
    </w:p>
    <w:p w14:paraId="59889798">
      <w:pPr>
        <w:pStyle w:val="3"/>
        <w:spacing w:before="95" w:beforeLines="25" w:after="95" w:afterLines="25" w:line="460" w:lineRule="exact"/>
        <w:ind w:firstLine="0" w:firstLineChars="0"/>
        <w:contextualSpacing/>
        <w:rPr>
          <w:rFonts w:ascii="黑体" w:hAnsi="黑体" w:eastAsia="黑体"/>
          <w:color w:val="000000"/>
          <w:kern w:val="0"/>
          <w:sz w:val="32"/>
          <w:szCs w:val="30"/>
        </w:rPr>
      </w:pPr>
      <w:r>
        <w:rPr>
          <w:rFonts w:hint="eastAsia" w:ascii="黑体" w:hAnsi="黑体" w:eastAsia="黑体"/>
          <w:color w:val="000000"/>
          <w:kern w:val="0"/>
          <w:sz w:val="32"/>
          <w:szCs w:val="30"/>
        </w:rPr>
        <w:t>第二章 “优秀社团”评优条件</w:t>
      </w:r>
    </w:p>
    <w:p w14:paraId="44D19FDF">
      <w:pPr>
        <w:widowControl/>
        <w:spacing w:line="460" w:lineRule="exact"/>
        <w:ind w:firstLine="640" w:firstLineChars="200"/>
        <w:contextualSpacing/>
        <w:jc w:val="both"/>
        <w:rPr>
          <w:rFonts w:ascii="仿宋_GB2312" w:hAnsi="FangSong" w:eastAsia="仿宋_GB2312"/>
          <w:b w:val="0"/>
          <w:kern w:val="0"/>
          <w:szCs w:val="28"/>
        </w:rPr>
      </w:pPr>
      <w:bookmarkStart w:id="1" w:name="OLE_LINK2"/>
      <w:r>
        <w:rPr>
          <w:rFonts w:hint="eastAsia" w:ascii="黑体" w:hAnsi="黑体" w:eastAsia="黑体"/>
          <w:b w:val="0"/>
          <w:color w:val="000000"/>
          <w:kern w:val="0"/>
          <w:sz w:val="32"/>
          <w:szCs w:val="28"/>
        </w:rPr>
        <w:t>第五条</w:t>
      </w:r>
      <w:bookmarkEnd w:id="1"/>
      <w:r>
        <w:rPr>
          <w:rFonts w:hint="eastAsia" w:ascii="仿宋_GB2312" w:hAnsi="FangSong" w:eastAsia="仿宋_GB2312"/>
          <w:b w:val="0"/>
          <w:kern w:val="0"/>
          <w:szCs w:val="28"/>
        </w:rPr>
        <w:t xml:space="preserve">  “优秀社团”的评优对象为中南财经政法大学所有注册成立一年以上（不包括本学年新注册成立社团），且在本学年半年度考核中评级结果为“活力社团”或“活跃社团”的学生社团。</w:t>
      </w:r>
    </w:p>
    <w:p w14:paraId="0F100C92">
      <w:pPr>
        <w:widowControl/>
        <w:spacing w:line="460" w:lineRule="exact"/>
        <w:ind w:firstLine="640" w:firstLineChars="200"/>
        <w:contextualSpacing/>
        <w:jc w:val="both"/>
        <w:rPr>
          <w:rFonts w:ascii="仿宋_GB2312" w:hAnsi="FangSong" w:eastAsia="仿宋_GB2312"/>
          <w:b w:val="0"/>
          <w:kern w:val="0"/>
          <w:szCs w:val="28"/>
        </w:rPr>
      </w:pPr>
      <w:r>
        <w:rPr>
          <w:rFonts w:hint="eastAsia" w:ascii="黑体" w:hAnsi="黑体" w:eastAsia="黑体"/>
          <w:b w:val="0"/>
          <w:color w:val="000000"/>
          <w:kern w:val="0"/>
          <w:sz w:val="32"/>
          <w:szCs w:val="28"/>
        </w:rPr>
        <w:t>第六条</w:t>
      </w:r>
      <w:r>
        <w:rPr>
          <w:rFonts w:ascii="黑体" w:hAnsi="黑体" w:eastAsia="黑体"/>
          <w:b w:val="0"/>
          <w:color w:val="000000"/>
          <w:kern w:val="0"/>
          <w:sz w:val="32"/>
          <w:szCs w:val="28"/>
        </w:rPr>
        <w:tab/>
      </w:r>
      <w:r>
        <w:rPr>
          <w:rFonts w:ascii="黑体" w:hAnsi="黑体" w:eastAsia="黑体"/>
          <w:b w:val="0"/>
          <w:color w:val="000000"/>
          <w:kern w:val="0"/>
          <w:sz w:val="32"/>
          <w:szCs w:val="28"/>
        </w:rPr>
        <w:t xml:space="preserve">  </w:t>
      </w:r>
      <w:r>
        <w:rPr>
          <w:rFonts w:hint="eastAsia" w:ascii="仿宋_GB2312" w:hAnsi="FangSong" w:eastAsia="仿宋_GB2312"/>
          <w:b w:val="0"/>
          <w:kern w:val="0"/>
          <w:szCs w:val="28"/>
        </w:rPr>
        <w:t>学生社团有下列情形之一的取消评优资格：</w:t>
      </w:r>
    </w:p>
    <w:p w14:paraId="75BEF9A7">
      <w:pPr>
        <w:widowControl/>
        <w:spacing w:line="460" w:lineRule="exact"/>
        <w:ind w:firstLine="560" w:firstLineChars="200"/>
        <w:contextualSpacing/>
        <w:jc w:val="both"/>
        <w:rPr>
          <w:rFonts w:ascii="仿宋_GB2312" w:hAnsi="FangSong" w:eastAsia="仿宋_GB2312"/>
          <w:b w:val="0"/>
          <w:kern w:val="0"/>
          <w:szCs w:val="28"/>
        </w:rPr>
      </w:pPr>
      <w:r>
        <w:rPr>
          <w:rFonts w:hint="eastAsia" w:ascii="仿宋_GB2312" w:hAnsi="FangSong" w:eastAsia="仿宋_GB2312"/>
          <w:b w:val="0"/>
          <w:kern w:val="0"/>
          <w:szCs w:val="28"/>
        </w:rPr>
        <w:t>（一）违反国家法律法规及政策的；</w:t>
      </w:r>
    </w:p>
    <w:p w14:paraId="3A7C79D9">
      <w:pPr>
        <w:widowControl/>
        <w:spacing w:line="460" w:lineRule="exact"/>
        <w:ind w:firstLine="560" w:firstLineChars="200"/>
        <w:contextualSpacing/>
        <w:jc w:val="both"/>
        <w:rPr>
          <w:rFonts w:ascii="仿宋_GB2312" w:hAnsi="FangSong" w:eastAsia="仿宋_GB2312"/>
          <w:b w:val="0"/>
          <w:kern w:val="0"/>
          <w:szCs w:val="28"/>
        </w:rPr>
      </w:pPr>
      <w:r>
        <w:rPr>
          <w:rFonts w:hint="eastAsia" w:ascii="仿宋_GB2312" w:hAnsi="FangSong" w:eastAsia="仿宋_GB2312"/>
          <w:b w:val="0"/>
          <w:kern w:val="0"/>
          <w:szCs w:val="28"/>
        </w:rPr>
        <w:t>（二）违反学校各项规章制度，或破坏学校社团整体形象，情节严重的；</w:t>
      </w:r>
    </w:p>
    <w:p w14:paraId="545B4F2D">
      <w:pPr>
        <w:widowControl/>
        <w:spacing w:line="460" w:lineRule="exact"/>
        <w:ind w:firstLine="560" w:firstLineChars="200"/>
        <w:contextualSpacing/>
        <w:jc w:val="both"/>
        <w:rPr>
          <w:rFonts w:ascii="仿宋_GB2312" w:hAnsi="FangSong" w:eastAsia="仿宋_GB2312"/>
          <w:b w:val="0"/>
          <w:kern w:val="0"/>
          <w:szCs w:val="28"/>
        </w:rPr>
      </w:pPr>
      <w:r>
        <w:rPr>
          <w:rFonts w:hint="eastAsia" w:ascii="仿宋_GB2312" w:hAnsi="FangSong" w:eastAsia="仿宋_GB2312"/>
          <w:b w:val="0"/>
          <w:kern w:val="0"/>
          <w:szCs w:val="28"/>
        </w:rPr>
        <w:t>（三）以学生社团名义开展严重损害会员合法权益或学校形象活动的；</w:t>
      </w:r>
    </w:p>
    <w:p w14:paraId="4DF946EA">
      <w:pPr>
        <w:widowControl/>
        <w:spacing w:line="460" w:lineRule="exact"/>
        <w:ind w:firstLine="560" w:firstLineChars="200"/>
        <w:contextualSpacing/>
        <w:jc w:val="both"/>
        <w:rPr>
          <w:rFonts w:ascii="仿宋_GB2312" w:hAnsi="FangSong" w:eastAsia="仿宋_GB2312"/>
          <w:b w:val="0"/>
          <w:kern w:val="0"/>
          <w:szCs w:val="28"/>
        </w:rPr>
      </w:pPr>
      <w:r>
        <w:rPr>
          <w:rFonts w:hint="eastAsia" w:ascii="仿宋_GB2312" w:hAnsi="FangSong" w:eastAsia="仿宋_GB2312"/>
          <w:b w:val="0"/>
          <w:kern w:val="0"/>
          <w:szCs w:val="28"/>
        </w:rPr>
        <w:t>（四）上报材料弄虚作假的；</w:t>
      </w:r>
    </w:p>
    <w:p w14:paraId="6F22697A">
      <w:pPr>
        <w:widowControl/>
        <w:spacing w:line="460" w:lineRule="exact"/>
        <w:ind w:firstLine="560" w:firstLineChars="200"/>
        <w:contextualSpacing/>
        <w:jc w:val="both"/>
        <w:rPr>
          <w:rFonts w:ascii="仿宋_GB2312" w:hAnsi="FangSong" w:eastAsia="仿宋_GB2312"/>
          <w:b w:val="0"/>
          <w:kern w:val="0"/>
          <w:szCs w:val="28"/>
        </w:rPr>
      </w:pPr>
      <w:r>
        <w:rPr>
          <w:rFonts w:hint="eastAsia" w:ascii="仿宋_GB2312" w:hAnsi="FangSong" w:eastAsia="仿宋_GB2312"/>
          <w:b w:val="0"/>
          <w:kern w:val="0"/>
          <w:szCs w:val="28"/>
        </w:rPr>
        <w:t>（五）有其他严重损害学校或社团合法权益情况的。</w:t>
      </w:r>
    </w:p>
    <w:p w14:paraId="163571CC">
      <w:pPr>
        <w:pStyle w:val="3"/>
        <w:spacing w:before="95" w:beforeLines="25" w:after="95" w:afterLines="25" w:line="460" w:lineRule="exact"/>
        <w:ind w:firstLine="0" w:firstLineChars="0"/>
        <w:contextualSpacing/>
        <w:rPr>
          <w:rFonts w:ascii="黑体" w:hAnsi="黑体" w:eastAsia="黑体"/>
          <w:color w:val="000000"/>
          <w:kern w:val="0"/>
          <w:sz w:val="32"/>
          <w:szCs w:val="30"/>
        </w:rPr>
      </w:pPr>
      <w:r>
        <w:rPr>
          <w:rFonts w:hint="eastAsia" w:ascii="黑体" w:hAnsi="黑体" w:eastAsia="黑体"/>
          <w:color w:val="000000"/>
          <w:kern w:val="0"/>
          <w:sz w:val="32"/>
          <w:szCs w:val="30"/>
        </w:rPr>
        <w:t>第三章  “优秀社团”评优程序</w:t>
      </w:r>
    </w:p>
    <w:p w14:paraId="1B5B57FC">
      <w:pPr>
        <w:widowControl/>
        <w:spacing w:line="460" w:lineRule="exact"/>
        <w:ind w:firstLine="640" w:firstLineChars="200"/>
        <w:contextualSpacing/>
        <w:jc w:val="both"/>
        <w:rPr>
          <w:rFonts w:ascii="仿宋_GB2312" w:hAnsi="FangSong" w:eastAsia="仿宋_GB2312"/>
          <w:b w:val="0"/>
          <w:color w:val="000000"/>
          <w:kern w:val="0"/>
          <w:szCs w:val="28"/>
        </w:rPr>
      </w:pPr>
      <w:r>
        <w:rPr>
          <w:rFonts w:hint="eastAsia" w:ascii="黑体" w:hAnsi="黑体" w:eastAsia="黑体"/>
          <w:b w:val="0"/>
          <w:color w:val="000000"/>
          <w:kern w:val="0"/>
          <w:sz w:val="32"/>
          <w:szCs w:val="28"/>
        </w:rPr>
        <w:t>第七条</w:t>
      </w:r>
      <w:r>
        <w:rPr>
          <w:rFonts w:hint="eastAsia" w:ascii="仿宋_GB2312" w:hAnsi="FangSong" w:eastAsia="仿宋_GB2312"/>
          <w:b w:val="0"/>
          <w:kern w:val="0"/>
          <w:szCs w:val="28"/>
        </w:rPr>
        <w:t xml:space="preserve">  </w:t>
      </w:r>
      <w:r>
        <w:rPr>
          <w:rFonts w:hint="eastAsia" w:ascii="仿宋_GB2312" w:hAnsi="FangSong" w:eastAsia="仿宋_GB2312"/>
          <w:b w:val="0"/>
          <w:color w:val="000000"/>
          <w:kern w:val="0"/>
          <w:szCs w:val="28"/>
        </w:rPr>
        <w:t>评优程序</w:t>
      </w:r>
    </w:p>
    <w:p w14:paraId="1A4B0CDB">
      <w:pPr>
        <w:widowControl/>
        <w:spacing w:line="460" w:lineRule="exact"/>
        <w:ind w:firstLine="560" w:firstLineChars="200"/>
        <w:contextualSpacing/>
        <w:jc w:val="both"/>
        <w:rPr>
          <w:rFonts w:ascii="仿宋_GB2312" w:hAnsi="FangSong" w:eastAsia="仿宋_GB2312"/>
          <w:b w:val="0"/>
          <w:color w:val="000000"/>
          <w:kern w:val="0"/>
          <w:szCs w:val="28"/>
        </w:rPr>
      </w:pPr>
      <w:r>
        <w:rPr>
          <w:rFonts w:hint="eastAsia" w:ascii="仿宋_GB2312" w:hAnsi="FangSong" w:eastAsia="仿宋_GB2312"/>
          <w:b w:val="0"/>
          <w:color w:val="000000"/>
          <w:kern w:val="0"/>
          <w:szCs w:val="28"/>
        </w:rPr>
        <w:t>（一）符合评优条件的参选社团需在规定时间内完成申报表和相关材料准备，并发送至社团管理部社团事务办公室邮箱</w:t>
      </w:r>
      <w:r>
        <w:rPr>
          <w:rFonts w:ascii="仿宋_GB2312" w:hAnsi="FangSong" w:eastAsia="仿宋_GB2312"/>
          <w:b w:val="0"/>
          <w:color w:val="000000"/>
          <w:kern w:val="0"/>
          <w:szCs w:val="28"/>
        </w:rPr>
        <w:t>(zuelslswb@163.com)</w:t>
      </w:r>
      <w:r>
        <w:rPr>
          <w:rFonts w:hint="eastAsia" w:ascii="仿宋_GB2312" w:hAnsi="FangSong" w:eastAsia="仿宋_GB2312"/>
          <w:b w:val="0"/>
          <w:color w:val="000000"/>
          <w:kern w:val="0"/>
          <w:szCs w:val="28"/>
        </w:rPr>
        <w:t>，逾期视为弃权；</w:t>
      </w:r>
    </w:p>
    <w:p w14:paraId="4C38EAC6">
      <w:pPr>
        <w:widowControl/>
        <w:spacing w:line="460" w:lineRule="exact"/>
        <w:ind w:firstLine="560" w:firstLineChars="200"/>
        <w:contextualSpacing/>
        <w:jc w:val="both"/>
        <w:rPr>
          <w:rFonts w:ascii="仿宋_GB2312" w:hAnsi="FangSong" w:eastAsia="仿宋_GB2312"/>
          <w:b w:val="0"/>
          <w:kern w:val="0"/>
          <w:szCs w:val="28"/>
        </w:rPr>
      </w:pPr>
      <w:r>
        <w:rPr>
          <w:rFonts w:hint="eastAsia" w:ascii="仿宋_GB2312" w:hAnsi="FangSong" w:eastAsia="仿宋_GB2312"/>
          <w:b w:val="0"/>
          <w:color w:val="000000"/>
          <w:kern w:val="0"/>
          <w:szCs w:val="28"/>
        </w:rPr>
        <w:t>（二）社团管理部根据“优秀社团”评优细则进行考核，根据得分由高到低确定参加答辩会名单</w:t>
      </w:r>
      <w:r>
        <w:rPr>
          <w:rFonts w:hint="eastAsia" w:ascii="仿宋_GB2312" w:hAnsi="FangSong" w:eastAsia="仿宋_GB2312"/>
          <w:b w:val="0"/>
          <w:kern w:val="0"/>
          <w:szCs w:val="28"/>
        </w:rPr>
        <w:t>；</w:t>
      </w:r>
    </w:p>
    <w:p w14:paraId="3E939721">
      <w:pPr>
        <w:widowControl/>
        <w:spacing w:line="460" w:lineRule="exact"/>
        <w:ind w:firstLine="560" w:firstLineChars="200"/>
        <w:contextualSpacing/>
        <w:jc w:val="both"/>
        <w:rPr>
          <w:rFonts w:ascii="仿宋_GB2312" w:hAnsi="FangSong" w:eastAsia="仿宋_GB2312"/>
          <w:b w:val="0"/>
          <w:kern w:val="0"/>
          <w:szCs w:val="28"/>
        </w:rPr>
      </w:pPr>
      <w:r>
        <w:rPr>
          <w:rFonts w:hint="eastAsia" w:ascii="仿宋_GB2312" w:hAnsi="FangSong" w:eastAsia="仿宋_GB2312"/>
          <w:b w:val="0"/>
          <w:kern w:val="0"/>
          <w:szCs w:val="28"/>
        </w:rPr>
        <w:t>（三）召开答辩会，依照评分细则对社团打分，由高到低确定优秀社团名单，并进行公示；</w:t>
      </w:r>
    </w:p>
    <w:p w14:paraId="3F19A7BA">
      <w:pPr>
        <w:widowControl/>
        <w:spacing w:line="460" w:lineRule="exact"/>
        <w:ind w:firstLine="560" w:firstLineChars="200"/>
        <w:contextualSpacing/>
        <w:jc w:val="both"/>
        <w:rPr>
          <w:rFonts w:ascii="仿宋_GB2312" w:hAnsi="FangSong" w:eastAsia="仿宋_GB2312"/>
          <w:b w:val="0"/>
          <w:kern w:val="0"/>
          <w:szCs w:val="28"/>
        </w:rPr>
      </w:pPr>
      <w:r>
        <w:rPr>
          <w:rFonts w:hint="eastAsia" w:ascii="仿宋_GB2312" w:hAnsi="FangSong" w:eastAsia="仿宋_GB2312"/>
          <w:b w:val="0"/>
          <w:kern w:val="0"/>
          <w:szCs w:val="28"/>
        </w:rPr>
        <w:t>（四）在公示期内有异议的社团，应提供确凿证据和充足材料，向社团管理部申请复议。复议过后，社团管理部将优秀社团名单报送校团委审核、批准。</w:t>
      </w:r>
    </w:p>
    <w:p w14:paraId="56446322">
      <w:pPr>
        <w:pStyle w:val="3"/>
        <w:spacing w:before="95" w:beforeLines="25" w:after="95" w:afterLines="25" w:line="460" w:lineRule="exact"/>
        <w:ind w:firstLine="0" w:firstLineChars="0"/>
        <w:contextualSpacing/>
        <w:rPr>
          <w:rFonts w:ascii="黑体" w:hAnsi="黑体" w:eastAsia="黑体"/>
          <w:color w:val="000000"/>
          <w:kern w:val="0"/>
          <w:sz w:val="32"/>
          <w:szCs w:val="30"/>
        </w:rPr>
      </w:pPr>
      <w:r>
        <w:rPr>
          <w:rFonts w:hint="eastAsia" w:ascii="黑体" w:hAnsi="黑体" w:eastAsia="黑体"/>
          <w:color w:val="000000"/>
          <w:kern w:val="0"/>
          <w:sz w:val="32"/>
          <w:szCs w:val="30"/>
        </w:rPr>
        <w:t>第四章  “优秀社团”评优细则</w:t>
      </w:r>
    </w:p>
    <w:p w14:paraId="189C0405">
      <w:pPr>
        <w:widowControl/>
        <w:spacing w:line="460" w:lineRule="exact"/>
        <w:ind w:firstLine="640" w:firstLineChars="200"/>
        <w:contextualSpacing/>
        <w:jc w:val="both"/>
        <w:rPr>
          <w:rFonts w:ascii="仿宋_GB2312" w:hAnsi="FangSong" w:eastAsia="仿宋_GB2312"/>
          <w:b w:val="0"/>
          <w:kern w:val="0"/>
          <w:szCs w:val="28"/>
        </w:rPr>
      </w:pPr>
      <w:r>
        <w:rPr>
          <w:rFonts w:hint="eastAsia" w:ascii="黑体" w:hAnsi="黑体" w:eastAsia="黑体"/>
          <w:b w:val="0"/>
          <w:color w:val="000000"/>
          <w:kern w:val="0"/>
          <w:sz w:val="32"/>
          <w:szCs w:val="28"/>
        </w:rPr>
        <w:t>第七条</w:t>
      </w:r>
      <w:r>
        <w:rPr>
          <w:rFonts w:hint="eastAsia" w:ascii="仿宋_GB2312" w:hAnsi="FangSong" w:eastAsia="仿宋_GB2312"/>
          <w:kern w:val="0"/>
          <w:szCs w:val="28"/>
        </w:rPr>
        <w:t xml:space="preserve"> </w:t>
      </w:r>
      <w:r>
        <w:rPr>
          <w:rFonts w:hint="eastAsia" w:ascii="仿宋_GB2312" w:hAnsi="FangSong" w:eastAsia="仿宋_GB2312"/>
          <w:b w:val="0"/>
          <w:kern w:val="0"/>
          <w:szCs w:val="28"/>
        </w:rPr>
        <w:t xml:space="preserve"> 评优细则</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2262"/>
        <w:gridCol w:w="860"/>
        <w:gridCol w:w="3839"/>
      </w:tblGrid>
      <w:tr w14:paraId="54426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1561" w:type="dxa"/>
            <w:tcMar>
              <w:left w:w="0" w:type="dxa"/>
              <w:right w:w="0" w:type="dxa"/>
            </w:tcMar>
            <w:vAlign w:val="center"/>
          </w:tcPr>
          <w:p w14:paraId="3452E02D">
            <w:pPr>
              <w:widowControl/>
              <w:contextualSpacing/>
              <w:rPr>
                <w:rFonts w:ascii="黑体" w:hAnsi="黑体" w:eastAsia="黑体"/>
                <w:kern w:val="0"/>
                <w:szCs w:val="28"/>
              </w:rPr>
            </w:pPr>
            <w:r>
              <w:rPr>
                <w:rFonts w:hint="eastAsia" w:ascii="黑体" w:hAnsi="黑体" w:eastAsia="黑体"/>
                <w:b w:val="0"/>
                <w:kern w:val="0"/>
                <w:szCs w:val="28"/>
              </w:rPr>
              <w:t>评比项目</w:t>
            </w:r>
          </w:p>
        </w:tc>
        <w:tc>
          <w:tcPr>
            <w:tcW w:w="2262" w:type="dxa"/>
            <w:tcMar>
              <w:left w:w="0" w:type="dxa"/>
              <w:right w:w="0" w:type="dxa"/>
            </w:tcMar>
            <w:vAlign w:val="center"/>
          </w:tcPr>
          <w:p w14:paraId="6A6EE634">
            <w:pPr>
              <w:widowControl/>
              <w:contextualSpacing/>
              <w:rPr>
                <w:rFonts w:ascii="黑体" w:hAnsi="黑体" w:eastAsia="黑体"/>
                <w:kern w:val="0"/>
                <w:szCs w:val="28"/>
              </w:rPr>
            </w:pPr>
            <w:r>
              <w:rPr>
                <w:rFonts w:hint="eastAsia" w:ascii="黑体" w:hAnsi="黑体" w:eastAsia="黑体"/>
                <w:b w:val="0"/>
                <w:kern w:val="0"/>
                <w:szCs w:val="28"/>
              </w:rPr>
              <w:t>具体内容</w:t>
            </w:r>
          </w:p>
        </w:tc>
        <w:tc>
          <w:tcPr>
            <w:tcW w:w="860" w:type="dxa"/>
            <w:tcMar>
              <w:left w:w="0" w:type="dxa"/>
              <w:right w:w="0" w:type="dxa"/>
            </w:tcMar>
            <w:vAlign w:val="center"/>
          </w:tcPr>
          <w:p w14:paraId="3B823A26">
            <w:pPr>
              <w:widowControl/>
              <w:contextualSpacing/>
              <w:rPr>
                <w:rFonts w:ascii="黑体" w:hAnsi="黑体" w:eastAsia="黑体"/>
                <w:kern w:val="0"/>
                <w:szCs w:val="28"/>
              </w:rPr>
            </w:pPr>
            <w:r>
              <w:rPr>
                <w:rFonts w:hint="eastAsia" w:ascii="黑体" w:hAnsi="黑体" w:eastAsia="黑体"/>
                <w:b w:val="0"/>
                <w:kern w:val="0"/>
                <w:szCs w:val="28"/>
              </w:rPr>
              <w:t>分值</w:t>
            </w:r>
          </w:p>
        </w:tc>
        <w:tc>
          <w:tcPr>
            <w:tcW w:w="3839" w:type="dxa"/>
            <w:tcMar>
              <w:left w:w="0" w:type="dxa"/>
              <w:right w:w="0" w:type="dxa"/>
            </w:tcMar>
            <w:vAlign w:val="center"/>
          </w:tcPr>
          <w:p w14:paraId="0DFD94CE">
            <w:pPr>
              <w:widowControl/>
              <w:contextualSpacing/>
              <w:rPr>
                <w:rFonts w:ascii="黑体" w:hAnsi="黑体" w:eastAsia="黑体"/>
                <w:b w:val="0"/>
                <w:kern w:val="0"/>
                <w:szCs w:val="28"/>
              </w:rPr>
            </w:pPr>
            <w:r>
              <w:rPr>
                <w:rFonts w:hint="eastAsia" w:ascii="黑体" w:hAnsi="黑体" w:eastAsia="黑体"/>
                <w:b w:val="0"/>
                <w:kern w:val="0"/>
                <w:szCs w:val="28"/>
              </w:rPr>
              <w:t>备注</w:t>
            </w:r>
          </w:p>
        </w:tc>
      </w:tr>
      <w:tr w14:paraId="40D5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1561" w:type="dxa"/>
            <w:vMerge w:val="restart"/>
            <w:tcMar>
              <w:left w:w="0" w:type="dxa"/>
              <w:right w:w="0" w:type="dxa"/>
            </w:tcMar>
            <w:vAlign w:val="center"/>
          </w:tcPr>
          <w:p w14:paraId="11FE5554">
            <w:pPr>
              <w:widowControl/>
              <w:contextualSpacing/>
              <w:rPr>
                <w:rFonts w:ascii="仿宋_GB2312" w:hAnsi="FangSong" w:eastAsia="仿宋_GB2312"/>
                <w:kern w:val="0"/>
                <w:sz w:val="21"/>
                <w:szCs w:val="21"/>
              </w:rPr>
            </w:pPr>
            <w:r>
              <w:rPr>
                <w:rFonts w:hint="eastAsia" w:ascii="仿宋_GB2312" w:hAnsi="FangSong" w:eastAsia="仿宋_GB2312"/>
                <w:kern w:val="0"/>
                <w:sz w:val="21"/>
                <w:szCs w:val="21"/>
              </w:rPr>
              <w:t>半年度考核</w:t>
            </w:r>
          </w:p>
        </w:tc>
        <w:tc>
          <w:tcPr>
            <w:tcW w:w="2262" w:type="dxa"/>
            <w:tcMar>
              <w:left w:w="0" w:type="dxa"/>
              <w:right w:w="0" w:type="dxa"/>
            </w:tcMar>
            <w:vAlign w:val="center"/>
          </w:tcPr>
          <w:p w14:paraId="651C3FE5">
            <w:pPr>
              <w:widowControl/>
              <w:contextualSpacing/>
              <w:rPr>
                <w:rFonts w:ascii="仿宋_GB2312" w:hAnsi="FangSong" w:eastAsia="仿宋_GB2312"/>
                <w:b w:val="0"/>
                <w:kern w:val="0"/>
                <w:sz w:val="21"/>
                <w:szCs w:val="21"/>
              </w:rPr>
            </w:pPr>
            <w:r>
              <w:rPr>
                <w:rFonts w:hint="eastAsia" w:ascii="仿宋_GB2312" w:hAnsi="FangSong" w:eastAsia="仿宋_GB2312"/>
                <w:b w:val="0"/>
                <w:kern w:val="0"/>
                <w:sz w:val="21"/>
                <w:szCs w:val="21"/>
              </w:rPr>
              <w:t>活力社团</w:t>
            </w:r>
          </w:p>
        </w:tc>
        <w:tc>
          <w:tcPr>
            <w:tcW w:w="860" w:type="dxa"/>
            <w:tcMar>
              <w:left w:w="0" w:type="dxa"/>
              <w:right w:w="0" w:type="dxa"/>
            </w:tcMar>
            <w:vAlign w:val="center"/>
          </w:tcPr>
          <w:p w14:paraId="07CC1FDE">
            <w:pPr>
              <w:widowControl/>
              <w:contextualSpacing/>
              <w:rPr>
                <w:rFonts w:ascii="仿宋_GB2312" w:hAnsi="FangSong" w:eastAsia="仿宋_GB2312"/>
                <w:b w:val="0"/>
                <w:kern w:val="0"/>
                <w:sz w:val="21"/>
                <w:szCs w:val="21"/>
              </w:rPr>
            </w:pPr>
            <w:r>
              <w:rPr>
                <w:rFonts w:hint="eastAsia" w:ascii="仿宋_GB2312" w:hAnsi="FangSong" w:eastAsia="仿宋_GB2312"/>
                <w:b w:val="0"/>
                <w:kern w:val="0"/>
                <w:sz w:val="21"/>
                <w:szCs w:val="21"/>
              </w:rPr>
              <w:t>20</w:t>
            </w:r>
          </w:p>
        </w:tc>
        <w:tc>
          <w:tcPr>
            <w:tcW w:w="3839" w:type="dxa"/>
            <w:vMerge w:val="restart"/>
            <w:tcMar>
              <w:left w:w="0" w:type="dxa"/>
              <w:right w:w="0" w:type="dxa"/>
            </w:tcMar>
            <w:vAlign w:val="center"/>
          </w:tcPr>
          <w:p w14:paraId="3CEF3BCD">
            <w:pPr>
              <w:widowControl/>
              <w:contextualSpacing/>
              <w:jc w:val="left"/>
              <w:rPr>
                <w:rFonts w:ascii="仿宋_GB2312" w:hAnsi="FangSong" w:eastAsia="仿宋_GB2312"/>
                <w:b w:val="0"/>
                <w:kern w:val="0"/>
                <w:sz w:val="21"/>
                <w:szCs w:val="21"/>
              </w:rPr>
            </w:pPr>
            <w:r>
              <w:rPr>
                <w:rFonts w:hint="eastAsia" w:ascii="仿宋_GB2312" w:hAnsi="FangSong" w:eastAsia="仿宋_GB2312"/>
                <w:b w:val="0"/>
                <w:kern w:val="0"/>
                <w:sz w:val="21"/>
                <w:szCs w:val="21"/>
              </w:rPr>
              <w:t>以社团本学年半年度考核等级计入总分，半年度考核结果为“活力社团”的，此项得分为20分；半年度考核结果为“活跃社团”的，此项得分为10分。</w:t>
            </w:r>
          </w:p>
        </w:tc>
      </w:tr>
      <w:tr w14:paraId="63C6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561" w:type="dxa"/>
            <w:vMerge w:val="continue"/>
            <w:tcMar>
              <w:left w:w="0" w:type="dxa"/>
              <w:right w:w="0" w:type="dxa"/>
            </w:tcMar>
            <w:vAlign w:val="center"/>
          </w:tcPr>
          <w:p w14:paraId="69AA5203">
            <w:pPr>
              <w:widowControl/>
              <w:contextualSpacing/>
              <w:rPr>
                <w:rFonts w:ascii="仿宋_GB2312" w:hAnsi="FangSong" w:eastAsia="仿宋_GB2312"/>
                <w:kern w:val="0"/>
                <w:sz w:val="21"/>
                <w:szCs w:val="21"/>
              </w:rPr>
            </w:pPr>
          </w:p>
        </w:tc>
        <w:tc>
          <w:tcPr>
            <w:tcW w:w="2262" w:type="dxa"/>
            <w:tcMar>
              <w:left w:w="0" w:type="dxa"/>
              <w:right w:w="0" w:type="dxa"/>
            </w:tcMar>
            <w:vAlign w:val="center"/>
          </w:tcPr>
          <w:p w14:paraId="4619350D">
            <w:pPr>
              <w:widowControl/>
              <w:contextualSpacing/>
              <w:rPr>
                <w:rFonts w:ascii="仿宋_GB2312" w:hAnsi="FangSong" w:eastAsia="仿宋_GB2312"/>
                <w:b w:val="0"/>
                <w:kern w:val="0"/>
                <w:sz w:val="21"/>
                <w:szCs w:val="21"/>
              </w:rPr>
            </w:pPr>
            <w:r>
              <w:rPr>
                <w:rFonts w:hint="eastAsia" w:ascii="仿宋_GB2312" w:hAnsi="FangSong" w:eastAsia="仿宋_GB2312"/>
                <w:b w:val="0"/>
                <w:kern w:val="0"/>
                <w:sz w:val="21"/>
                <w:szCs w:val="21"/>
              </w:rPr>
              <w:t>活跃社团</w:t>
            </w:r>
          </w:p>
        </w:tc>
        <w:tc>
          <w:tcPr>
            <w:tcW w:w="860" w:type="dxa"/>
            <w:tcMar>
              <w:left w:w="0" w:type="dxa"/>
              <w:right w:w="0" w:type="dxa"/>
            </w:tcMar>
            <w:vAlign w:val="center"/>
          </w:tcPr>
          <w:p w14:paraId="50150625">
            <w:pPr>
              <w:widowControl/>
              <w:contextualSpacing/>
              <w:rPr>
                <w:rFonts w:ascii="仿宋_GB2312" w:hAnsi="FangSong" w:eastAsia="仿宋_GB2312"/>
                <w:b w:val="0"/>
                <w:kern w:val="0"/>
                <w:sz w:val="21"/>
                <w:szCs w:val="21"/>
              </w:rPr>
            </w:pPr>
            <w:r>
              <w:rPr>
                <w:rFonts w:hint="eastAsia" w:ascii="仿宋_GB2312" w:hAnsi="FangSong" w:eastAsia="仿宋_GB2312"/>
                <w:b w:val="0"/>
                <w:kern w:val="0"/>
                <w:sz w:val="21"/>
                <w:szCs w:val="21"/>
              </w:rPr>
              <w:t>10</w:t>
            </w:r>
          </w:p>
        </w:tc>
        <w:tc>
          <w:tcPr>
            <w:tcW w:w="3839" w:type="dxa"/>
            <w:vMerge w:val="continue"/>
            <w:tcMar>
              <w:left w:w="0" w:type="dxa"/>
              <w:right w:w="0" w:type="dxa"/>
            </w:tcMar>
            <w:vAlign w:val="center"/>
          </w:tcPr>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A948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atLeast"/>
              </w:trPr>
              <w:tc>
                <w:tcPr>
                  <w:tcW w:w="3839" w:type="dxa"/>
                  <w:tcMar>
                    <w:left w:w="0" w:type="dxa"/>
                    <w:right w:w="0" w:type="dxa"/>
                  </w:tcMar>
                  <w:vAlign w:val="center"/>
                </w:tcPr>
                <w:p w14:paraId="51998BC9">
                  <w:pPr>
                    <w:widowControl/>
                    <w:contextualSpacing/>
                    <w:jc w:val="left"/>
                    <w:rPr>
                      <w:rFonts w:ascii="仿宋_GB2312" w:hAnsi="FangSong" w:eastAsia="仿宋_GB2312"/>
                      <w:b w:val="0"/>
                      <w:kern w:val="0"/>
                      <w:sz w:val="21"/>
                      <w:szCs w:val="21"/>
                    </w:rPr>
                  </w:pPr>
                  <w:r>
                    <w:rPr>
                      <w:rFonts w:hint="eastAsia" w:ascii="仿宋_GB2312" w:hAnsi="FangSong" w:eastAsia="仿宋_GB2312"/>
                      <w:b w:val="0"/>
                      <w:kern w:val="0"/>
                      <w:sz w:val="21"/>
                      <w:szCs w:val="21"/>
                    </w:rPr>
                    <w:t>以社团半年度考核等级计入总分，半年度考核为“活跃社团”，此项得分为10分。</w:t>
                  </w:r>
                </w:p>
              </w:tc>
            </w:tr>
          </w:tbl>
          <w:p w14:paraId="005BFB58">
            <w:pPr>
              <w:widowControl/>
              <w:contextualSpacing/>
              <w:jc w:val="left"/>
              <w:rPr>
                <w:rFonts w:ascii="仿宋_GB2312" w:hAnsi="FangSong" w:eastAsia="仿宋_GB2312"/>
                <w:b w:val="0"/>
                <w:kern w:val="0"/>
                <w:sz w:val="21"/>
                <w:szCs w:val="21"/>
              </w:rPr>
            </w:pPr>
          </w:p>
        </w:tc>
      </w:tr>
      <w:tr w14:paraId="79A4E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atLeast"/>
        </w:trPr>
        <w:tc>
          <w:tcPr>
            <w:tcW w:w="1561" w:type="dxa"/>
            <w:vMerge w:val="restart"/>
            <w:tcMar>
              <w:left w:w="0" w:type="dxa"/>
              <w:right w:w="0" w:type="dxa"/>
            </w:tcMar>
            <w:vAlign w:val="center"/>
          </w:tcPr>
          <w:p w14:paraId="26C0B894">
            <w:pPr>
              <w:widowControl/>
              <w:contextualSpacing/>
              <w:rPr>
                <w:rFonts w:ascii="仿宋_GB2312" w:hAnsi="FangSong" w:eastAsia="仿宋_GB2312"/>
                <w:kern w:val="0"/>
                <w:sz w:val="21"/>
                <w:szCs w:val="21"/>
              </w:rPr>
            </w:pPr>
            <w:r>
              <w:rPr>
                <w:rFonts w:hint="eastAsia" w:ascii="仿宋_GB2312" w:hAnsi="FangSong" w:eastAsia="仿宋_GB2312"/>
                <w:kern w:val="0"/>
                <w:sz w:val="21"/>
                <w:szCs w:val="21"/>
              </w:rPr>
              <w:t>社团活动</w:t>
            </w:r>
          </w:p>
        </w:tc>
        <w:tc>
          <w:tcPr>
            <w:tcW w:w="2262" w:type="dxa"/>
            <w:tcMar>
              <w:left w:w="0" w:type="dxa"/>
              <w:right w:w="0" w:type="dxa"/>
            </w:tcMar>
            <w:vAlign w:val="center"/>
          </w:tcPr>
          <w:p w14:paraId="4A75CFCC">
            <w:pPr>
              <w:widowControl/>
              <w:contextualSpacing/>
              <w:rPr>
                <w:rFonts w:ascii="仿宋_GB2312" w:hAnsi="FangSong" w:eastAsia="仿宋_GB2312"/>
                <w:b w:val="0"/>
                <w:kern w:val="0"/>
                <w:sz w:val="21"/>
                <w:szCs w:val="21"/>
              </w:rPr>
            </w:pPr>
            <w:r>
              <w:rPr>
                <w:rFonts w:hint="eastAsia" w:ascii="仿宋_GB2312" w:hAnsi="FangSong" w:eastAsia="仿宋_GB2312"/>
                <w:b w:val="0"/>
                <w:kern w:val="0"/>
                <w:sz w:val="21"/>
                <w:szCs w:val="21"/>
              </w:rPr>
              <w:t>社团活动开展数量</w:t>
            </w:r>
          </w:p>
        </w:tc>
        <w:tc>
          <w:tcPr>
            <w:tcW w:w="860" w:type="dxa"/>
            <w:tcMar>
              <w:left w:w="0" w:type="dxa"/>
              <w:right w:w="0" w:type="dxa"/>
            </w:tcMar>
            <w:vAlign w:val="center"/>
          </w:tcPr>
          <w:p w14:paraId="24B1A146">
            <w:pPr>
              <w:widowControl/>
              <w:contextualSpacing/>
              <w:rPr>
                <w:rFonts w:ascii="仿宋_GB2312" w:hAnsi="FangSong" w:eastAsia="仿宋_GB2312"/>
                <w:b w:val="0"/>
                <w:kern w:val="0"/>
                <w:sz w:val="21"/>
                <w:szCs w:val="21"/>
              </w:rPr>
            </w:pPr>
            <w:r>
              <w:rPr>
                <w:rFonts w:hint="eastAsia" w:ascii="仿宋_GB2312" w:hAnsi="FangSong" w:eastAsia="仿宋_GB2312"/>
                <w:b w:val="0"/>
                <w:kern w:val="0"/>
                <w:sz w:val="21"/>
                <w:szCs w:val="21"/>
              </w:rPr>
              <w:t>5</w:t>
            </w:r>
          </w:p>
        </w:tc>
        <w:tc>
          <w:tcPr>
            <w:tcW w:w="3839" w:type="dxa"/>
            <w:vMerge w:val="restart"/>
            <w:tcMar>
              <w:left w:w="0" w:type="dxa"/>
              <w:right w:w="0" w:type="dxa"/>
            </w:tcMar>
            <w:vAlign w:val="center"/>
          </w:tcPr>
          <w:p w14:paraId="4D84BDF1">
            <w:pPr>
              <w:contextualSpacing/>
              <w:jc w:val="left"/>
              <w:rPr>
                <w:rFonts w:ascii="仿宋_GB2312" w:hAnsi="FangSong" w:eastAsia="仿宋_GB2312"/>
                <w:b w:val="0"/>
                <w:kern w:val="0"/>
                <w:sz w:val="21"/>
                <w:szCs w:val="21"/>
              </w:rPr>
            </w:pPr>
            <w:r>
              <w:rPr>
                <w:rFonts w:hint="eastAsia" w:ascii="仿宋_GB2312" w:hAnsi="FangSong" w:eastAsia="仿宋_GB2312"/>
                <w:b w:val="0"/>
                <w:kern w:val="0"/>
                <w:sz w:val="21"/>
                <w:szCs w:val="21"/>
              </w:rPr>
              <w:t>根据社团事务办公室对社团活动记录与评分得到。</w:t>
            </w:r>
          </w:p>
          <w:p w14:paraId="78779346">
            <w:pPr>
              <w:contextualSpacing/>
              <w:jc w:val="left"/>
              <w:rPr>
                <w:rFonts w:ascii="仿宋_GB2312" w:hAnsi="FangSong" w:eastAsia="仿宋_GB2312"/>
                <w:b w:val="0"/>
                <w:kern w:val="0"/>
                <w:sz w:val="21"/>
                <w:szCs w:val="21"/>
              </w:rPr>
            </w:pPr>
            <w:r>
              <w:rPr>
                <w:rFonts w:hint="eastAsia" w:ascii="仿宋_GB2312" w:hAnsi="FangSong" w:eastAsia="仿宋_GB2312"/>
                <w:b w:val="0"/>
                <w:kern w:val="0"/>
                <w:sz w:val="21"/>
                <w:szCs w:val="21"/>
              </w:rPr>
              <w:t>1.活动开展数量得分以本学年面向社团内部活动次数</w:t>
            </w:r>
            <w:r>
              <w:rPr>
                <w:rFonts w:ascii="仿宋_GB2312" w:hAnsi="FangSong" w:eastAsia="仿宋_GB2312"/>
                <w:b w:val="0"/>
                <w:kern w:val="0"/>
                <w:sz w:val="21"/>
                <w:szCs w:val="21"/>
              </w:rPr>
              <w:t>*0.4+</w:t>
            </w:r>
            <w:r>
              <w:rPr>
                <w:rFonts w:hint="eastAsia" w:ascii="仿宋_GB2312" w:hAnsi="FangSong" w:eastAsia="仿宋_GB2312"/>
                <w:b w:val="0"/>
                <w:kern w:val="0"/>
                <w:sz w:val="21"/>
                <w:szCs w:val="21"/>
              </w:rPr>
              <w:t>面向全校同学活动次数</w:t>
            </w:r>
            <w:r>
              <w:rPr>
                <w:rFonts w:ascii="仿宋_GB2312" w:hAnsi="FangSong" w:eastAsia="仿宋_GB2312"/>
                <w:b w:val="0"/>
                <w:kern w:val="0"/>
                <w:sz w:val="21"/>
                <w:szCs w:val="21"/>
              </w:rPr>
              <w:t>*0.6</w:t>
            </w:r>
            <w:r>
              <w:rPr>
                <w:rFonts w:hint="eastAsia" w:ascii="仿宋_GB2312" w:hAnsi="FangSong" w:eastAsia="仿宋_GB2312"/>
                <w:b w:val="0"/>
                <w:kern w:val="0"/>
                <w:sz w:val="21"/>
                <w:szCs w:val="21"/>
              </w:rPr>
              <w:t>为总得分，此项总得分以</w:t>
            </w:r>
            <w:r>
              <w:rPr>
                <w:rFonts w:ascii="仿宋_GB2312" w:hAnsi="FangSong" w:eastAsia="仿宋_GB2312"/>
                <w:b w:val="0"/>
                <w:kern w:val="0"/>
                <w:sz w:val="21"/>
                <w:szCs w:val="21"/>
              </w:rPr>
              <w:t>5</w:t>
            </w:r>
            <w:r>
              <w:rPr>
                <w:rFonts w:hint="eastAsia" w:ascii="仿宋_GB2312" w:hAnsi="FangSong" w:eastAsia="仿宋_GB2312"/>
                <w:b w:val="0"/>
                <w:kern w:val="0"/>
                <w:sz w:val="21"/>
                <w:szCs w:val="21"/>
              </w:rPr>
              <w:t>分为上限。</w:t>
            </w:r>
          </w:p>
          <w:p w14:paraId="1E59E4A2">
            <w:pPr>
              <w:contextualSpacing/>
              <w:jc w:val="left"/>
              <w:rPr>
                <w:rFonts w:ascii="仿宋_GB2312" w:hAnsi="FangSong" w:eastAsia="仿宋_GB2312"/>
                <w:b w:val="0"/>
                <w:kern w:val="0"/>
                <w:sz w:val="21"/>
                <w:szCs w:val="21"/>
              </w:rPr>
            </w:pPr>
            <w:r>
              <w:rPr>
                <w:rFonts w:hint="eastAsia" w:ascii="仿宋_GB2312" w:hAnsi="FangSong" w:eastAsia="仿宋_GB2312"/>
                <w:b w:val="0"/>
                <w:kern w:val="0"/>
                <w:sz w:val="21"/>
                <w:szCs w:val="21"/>
              </w:rPr>
              <w:t>2.活动开展质量以面向社团内部活动得分（满分5</w:t>
            </w:r>
            <w:r>
              <w:rPr>
                <w:rFonts w:ascii="仿宋_GB2312" w:hAnsi="FangSong" w:eastAsia="仿宋_GB2312"/>
                <w:b w:val="0"/>
                <w:kern w:val="0"/>
                <w:sz w:val="21"/>
                <w:szCs w:val="21"/>
              </w:rPr>
              <w:t>0</w:t>
            </w:r>
            <w:r>
              <w:rPr>
                <w:rFonts w:hint="eastAsia" w:ascii="仿宋_GB2312" w:hAnsi="FangSong" w:eastAsia="仿宋_GB2312"/>
                <w:b w:val="0"/>
                <w:kern w:val="0"/>
                <w:sz w:val="21"/>
                <w:szCs w:val="21"/>
              </w:rPr>
              <w:t>分）*</w:t>
            </w:r>
            <w:r>
              <w:rPr>
                <w:rFonts w:ascii="仿宋_GB2312" w:hAnsi="FangSong" w:eastAsia="仿宋_GB2312"/>
                <w:b w:val="0"/>
                <w:kern w:val="0"/>
                <w:sz w:val="21"/>
                <w:szCs w:val="21"/>
              </w:rPr>
              <w:t>2*60%</w:t>
            </w:r>
            <w:r>
              <w:rPr>
                <w:rFonts w:hint="eastAsia" w:ascii="仿宋_GB2312" w:hAnsi="FangSong" w:eastAsia="仿宋_GB2312"/>
                <w:b w:val="0"/>
                <w:kern w:val="0"/>
                <w:sz w:val="21"/>
                <w:szCs w:val="21"/>
              </w:rPr>
              <w:t>+面向全校同学活动得分（满分</w:t>
            </w:r>
            <w:r>
              <w:rPr>
                <w:rFonts w:ascii="仿宋_GB2312" w:hAnsi="FangSong" w:eastAsia="仿宋_GB2312"/>
                <w:b w:val="0"/>
                <w:kern w:val="0"/>
                <w:sz w:val="21"/>
                <w:szCs w:val="21"/>
              </w:rPr>
              <w:t>100</w:t>
            </w:r>
            <w:r>
              <w:rPr>
                <w:rFonts w:hint="eastAsia" w:ascii="仿宋_GB2312" w:hAnsi="FangSong" w:eastAsia="仿宋_GB2312"/>
                <w:b w:val="0"/>
                <w:kern w:val="0"/>
                <w:sz w:val="21"/>
                <w:szCs w:val="21"/>
              </w:rPr>
              <w:t>分）*</w:t>
            </w:r>
            <w:r>
              <w:rPr>
                <w:rFonts w:ascii="仿宋_GB2312" w:hAnsi="FangSong" w:eastAsia="仿宋_GB2312"/>
                <w:b w:val="0"/>
                <w:kern w:val="0"/>
                <w:sz w:val="21"/>
                <w:szCs w:val="21"/>
              </w:rPr>
              <w:t>40%</w:t>
            </w:r>
            <w:r>
              <w:rPr>
                <w:rFonts w:hint="eastAsia" w:ascii="仿宋_GB2312" w:hAnsi="FangSong" w:eastAsia="仿宋_GB2312"/>
                <w:b w:val="0"/>
                <w:kern w:val="0"/>
                <w:sz w:val="21"/>
                <w:szCs w:val="21"/>
              </w:rPr>
              <w:t>为得分，再将得分换算为十分制记为总得分。此项总得分以1</w:t>
            </w:r>
            <w:r>
              <w:rPr>
                <w:rFonts w:ascii="仿宋_GB2312" w:hAnsi="FangSong" w:eastAsia="仿宋_GB2312"/>
                <w:b w:val="0"/>
                <w:kern w:val="0"/>
                <w:sz w:val="21"/>
                <w:szCs w:val="21"/>
              </w:rPr>
              <w:t>0</w:t>
            </w:r>
            <w:r>
              <w:rPr>
                <w:rFonts w:hint="eastAsia" w:ascii="仿宋_GB2312" w:hAnsi="FangSong" w:eastAsia="仿宋_GB2312"/>
                <w:b w:val="0"/>
                <w:kern w:val="0"/>
                <w:sz w:val="21"/>
                <w:szCs w:val="21"/>
              </w:rPr>
              <w:t>分为上限。</w:t>
            </w:r>
          </w:p>
        </w:tc>
      </w:tr>
      <w:tr w14:paraId="54EE3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atLeast"/>
        </w:trPr>
        <w:tc>
          <w:tcPr>
            <w:tcW w:w="1561" w:type="dxa"/>
            <w:vMerge w:val="continue"/>
            <w:tcMar>
              <w:left w:w="0" w:type="dxa"/>
              <w:right w:w="0" w:type="dxa"/>
            </w:tcMar>
            <w:vAlign w:val="center"/>
          </w:tcPr>
          <w:p w14:paraId="471589F1">
            <w:pPr>
              <w:widowControl/>
              <w:contextualSpacing/>
              <w:rPr>
                <w:rFonts w:ascii="仿宋_GB2312" w:hAnsi="FangSong" w:eastAsia="仿宋_GB2312"/>
                <w:kern w:val="0"/>
                <w:sz w:val="21"/>
                <w:szCs w:val="21"/>
              </w:rPr>
            </w:pPr>
          </w:p>
        </w:tc>
        <w:tc>
          <w:tcPr>
            <w:tcW w:w="2262" w:type="dxa"/>
            <w:tcMar>
              <w:left w:w="0" w:type="dxa"/>
              <w:right w:w="0" w:type="dxa"/>
            </w:tcMar>
            <w:vAlign w:val="center"/>
          </w:tcPr>
          <w:p w14:paraId="2059ACA8">
            <w:pPr>
              <w:widowControl/>
              <w:contextualSpacing/>
              <w:rPr>
                <w:rFonts w:ascii="仿宋_GB2312" w:hAnsi="FangSong" w:eastAsia="仿宋_GB2312"/>
                <w:b w:val="0"/>
                <w:kern w:val="0"/>
                <w:sz w:val="21"/>
                <w:szCs w:val="21"/>
              </w:rPr>
            </w:pPr>
            <w:r>
              <w:rPr>
                <w:rFonts w:hint="eastAsia" w:ascii="仿宋_GB2312" w:hAnsi="FangSong" w:eastAsia="仿宋_GB2312"/>
                <w:b w:val="0"/>
                <w:kern w:val="0"/>
                <w:sz w:val="21"/>
                <w:szCs w:val="21"/>
              </w:rPr>
              <w:t>社团活动开展质量</w:t>
            </w:r>
          </w:p>
        </w:tc>
        <w:tc>
          <w:tcPr>
            <w:tcW w:w="860" w:type="dxa"/>
            <w:tcMar>
              <w:left w:w="0" w:type="dxa"/>
              <w:right w:w="0" w:type="dxa"/>
            </w:tcMar>
            <w:vAlign w:val="center"/>
          </w:tcPr>
          <w:p w14:paraId="2B417529">
            <w:pPr>
              <w:widowControl/>
              <w:contextualSpacing/>
              <w:rPr>
                <w:rFonts w:ascii="仿宋_GB2312" w:hAnsi="FangSong" w:eastAsia="仿宋_GB2312"/>
                <w:b w:val="0"/>
                <w:kern w:val="0"/>
                <w:sz w:val="21"/>
                <w:szCs w:val="21"/>
              </w:rPr>
            </w:pPr>
            <w:r>
              <w:rPr>
                <w:rFonts w:hint="eastAsia" w:ascii="仿宋_GB2312" w:hAnsi="FangSong" w:eastAsia="仿宋_GB2312"/>
                <w:b w:val="0"/>
                <w:kern w:val="0"/>
                <w:sz w:val="21"/>
                <w:szCs w:val="21"/>
              </w:rPr>
              <w:t>10</w:t>
            </w:r>
          </w:p>
        </w:tc>
        <w:tc>
          <w:tcPr>
            <w:tcW w:w="3839" w:type="dxa"/>
            <w:vMerge w:val="continue"/>
            <w:tcMar>
              <w:left w:w="0" w:type="dxa"/>
              <w:right w:w="0" w:type="dxa"/>
            </w:tcMar>
            <w:vAlign w:val="center"/>
          </w:tcPr>
          <w:p w14:paraId="09386E5B">
            <w:pPr>
              <w:widowControl/>
              <w:contextualSpacing/>
              <w:jc w:val="left"/>
              <w:rPr>
                <w:rFonts w:ascii="仿宋_GB2312" w:hAnsi="FangSong" w:eastAsia="仿宋_GB2312"/>
                <w:b w:val="0"/>
                <w:kern w:val="0"/>
                <w:sz w:val="21"/>
                <w:szCs w:val="21"/>
              </w:rPr>
            </w:pPr>
          </w:p>
        </w:tc>
      </w:tr>
      <w:tr w14:paraId="7469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1561" w:type="dxa"/>
            <w:tcMar>
              <w:left w:w="0" w:type="dxa"/>
              <w:right w:w="0" w:type="dxa"/>
            </w:tcMar>
            <w:vAlign w:val="center"/>
          </w:tcPr>
          <w:p w14:paraId="37BDFBEA">
            <w:pPr>
              <w:contextualSpacing/>
              <w:rPr>
                <w:rFonts w:ascii="仿宋_GB2312" w:hAnsi="FangSong" w:eastAsia="仿宋_GB2312"/>
                <w:color w:val="000000"/>
                <w:kern w:val="0"/>
                <w:sz w:val="21"/>
                <w:szCs w:val="21"/>
              </w:rPr>
            </w:pPr>
            <w:r>
              <w:rPr>
                <w:rFonts w:hint="eastAsia" w:ascii="仿宋_GB2312" w:hAnsi="FangSong" w:eastAsia="仿宋_GB2312"/>
                <w:color w:val="000000"/>
                <w:kern w:val="0"/>
                <w:sz w:val="21"/>
                <w:szCs w:val="21"/>
              </w:rPr>
              <w:t>申报材料</w:t>
            </w:r>
          </w:p>
        </w:tc>
        <w:tc>
          <w:tcPr>
            <w:tcW w:w="2262" w:type="dxa"/>
            <w:tcMar>
              <w:left w:w="0" w:type="dxa"/>
              <w:right w:w="0" w:type="dxa"/>
            </w:tcMar>
            <w:vAlign w:val="center"/>
          </w:tcPr>
          <w:p w14:paraId="0E760EC3">
            <w:pPr>
              <w:widowControl/>
              <w:contextualSpacing/>
              <w:rPr>
                <w:rFonts w:ascii="仿宋_GB2312" w:hAnsi="FangSong" w:eastAsia="仿宋_GB2312"/>
                <w:b w:val="0"/>
                <w:color w:val="000000"/>
                <w:kern w:val="0"/>
                <w:sz w:val="21"/>
                <w:szCs w:val="21"/>
              </w:rPr>
            </w:pPr>
            <w:r>
              <w:rPr>
                <w:rFonts w:hint="eastAsia" w:ascii="仿宋_GB2312" w:hAnsi="FangSong" w:eastAsia="仿宋_GB2312"/>
                <w:b w:val="0"/>
                <w:color w:val="000000"/>
                <w:kern w:val="0"/>
                <w:sz w:val="21"/>
                <w:szCs w:val="21"/>
              </w:rPr>
              <w:t>社团基本信息及工作总结情况</w:t>
            </w:r>
          </w:p>
        </w:tc>
        <w:tc>
          <w:tcPr>
            <w:tcW w:w="860" w:type="dxa"/>
            <w:tcMar>
              <w:left w:w="0" w:type="dxa"/>
              <w:right w:w="0" w:type="dxa"/>
            </w:tcMar>
            <w:vAlign w:val="center"/>
          </w:tcPr>
          <w:p w14:paraId="6220FEA4">
            <w:pPr>
              <w:widowControl/>
              <w:contextualSpacing/>
              <w:rPr>
                <w:rFonts w:ascii="仿宋_GB2312" w:hAnsi="FangSong" w:eastAsia="仿宋_GB2312"/>
                <w:b w:val="0"/>
                <w:color w:val="000000"/>
                <w:kern w:val="0"/>
                <w:sz w:val="21"/>
                <w:szCs w:val="21"/>
              </w:rPr>
            </w:pPr>
            <w:r>
              <w:rPr>
                <w:rFonts w:hint="eastAsia" w:ascii="仿宋_GB2312" w:hAnsi="FangSong" w:eastAsia="仿宋_GB2312"/>
                <w:b w:val="0"/>
                <w:color w:val="000000"/>
                <w:kern w:val="0"/>
                <w:sz w:val="21"/>
                <w:szCs w:val="21"/>
              </w:rPr>
              <w:t>5</w:t>
            </w:r>
          </w:p>
        </w:tc>
        <w:tc>
          <w:tcPr>
            <w:tcW w:w="3839" w:type="dxa"/>
            <w:tcMar>
              <w:left w:w="0" w:type="dxa"/>
              <w:right w:w="0" w:type="dxa"/>
            </w:tcMar>
            <w:vAlign w:val="center"/>
          </w:tcPr>
          <w:p w14:paraId="26D5D570">
            <w:pPr>
              <w:widowControl/>
              <w:contextualSpacing/>
              <w:jc w:val="left"/>
              <w:rPr>
                <w:rFonts w:ascii="仿宋_GB2312" w:hAnsi="FangSong" w:eastAsia="仿宋_GB2312"/>
                <w:b w:val="0"/>
                <w:color w:val="000000"/>
                <w:kern w:val="0"/>
                <w:sz w:val="21"/>
                <w:szCs w:val="21"/>
              </w:rPr>
            </w:pPr>
            <w:r>
              <w:rPr>
                <w:rFonts w:hint="eastAsia" w:ascii="仿宋_GB2312" w:hAnsi="FangSong" w:eastAsia="仿宋_GB2312"/>
                <w:b w:val="0"/>
                <w:color w:val="000000"/>
                <w:kern w:val="0"/>
                <w:sz w:val="21"/>
                <w:szCs w:val="21"/>
              </w:rPr>
              <w:t>包括对本社团的介绍、定位以及品牌活动等基本信息情况以及日常工作、社团整改、活动举办等各方面工作总结，缺少内容酌情扣分。得分由社团管理部综合评定。</w:t>
            </w:r>
          </w:p>
        </w:tc>
      </w:tr>
      <w:tr w14:paraId="7E85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trPr>
        <w:tc>
          <w:tcPr>
            <w:tcW w:w="1561" w:type="dxa"/>
            <w:vMerge w:val="restart"/>
            <w:tcMar>
              <w:left w:w="0" w:type="dxa"/>
              <w:right w:w="0" w:type="dxa"/>
            </w:tcMar>
            <w:vAlign w:val="center"/>
          </w:tcPr>
          <w:p w14:paraId="2A89DC15">
            <w:pPr>
              <w:widowControl/>
              <w:contextualSpacing/>
              <w:rPr>
                <w:rFonts w:ascii="仿宋_GB2312" w:hAnsi="FangSong" w:eastAsia="仿宋_GB2312"/>
                <w:color w:val="000000"/>
                <w:kern w:val="0"/>
                <w:sz w:val="21"/>
                <w:szCs w:val="21"/>
              </w:rPr>
            </w:pPr>
          </w:p>
          <w:p w14:paraId="52F2ACD9">
            <w:pPr>
              <w:widowControl/>
              <w:contextualSpacing/>
              <w:rPr>
                <w:rFonts w:ascii="仿宋_GB2312" w:hAnsi="FangSong" w:eastAsia="仿宋_GB2312"/>
                <w:color w:val="000000"/>
                <w:kern w:val="0"/>
                <w:sz w:val="21"/>
                <w:szCs w:val="21"/>
              </w:rPr>
            </w:pPr>
            <w:r>
              <w:rPr>
                <w:rFonts w:hint="eastAsia" w:ascii="仿宋_GB2312" w:hAnsi="FangSong" w:eastAsia="仿宋_GB2312"/>
                <w:color w:val="000000"/>
                <w:kern w:val="0"/>
                <w:sz w:val="21"/>
                <w:szCs w:val="21"/>
              </w:rPr>
              <w:t>财务管理</w:t>
            </w:r>
          </w:p>
          <w:p w14:paraId="42DDEB3B">
            <w:pPr>
              <w:contextualSpacing/>
              <w:jc w:val="both"/>
              <w:rPr>
                <w:rFonts w:ascii="仿宋_GB2312" w:hAnsi="FangSong" w:eastAsia="仿宋_GB2312"/>
                <w:color w:val="000000"/>
                <w:kern w:val="0"/>
                <w:sz w:val="21"/>
                <w:szCs w:val="21"/>
              </w:rPr>
            </w:pPr>
          </w:p>
        </w:tc>
        <w:tc>
          <w:tcPr>
            <w:tcW w:w="2262" w:type="dxa"/>
            <w:vMerge w:val="restart"/>
            <w:tcMar>
              <w:left w:w="0" w:type="dxa"/>
              <w:right w:w="0" w:type="dxa"/>
            </w:tcMar>
            <w:vAlign w:val="center"/>
          </w:tcPr>
          <w:p w14:paraId="5593A3C2">
            <w:pPr>
              <w:widowControl/>
              <w:rPr>
                <w:rFonts w:ascii="仿宋_GB2312" w:hAnsi="FangSong" w:eastAsia="仿宋_GB2312"/>
                <w:b w:val="0"/>
                <w:color w:val="000000"/>
                <w:kern w:val="0"/>
                <w:sz w:val="21"/>
                <w:szCs w:val="21"/>
              </w:rPr>
            </w:pPr>
            <w:r>
              <w:rPr>
                <w:rFonts w:hint="eastAsia" w:ascii="仿宋_GB2312" w:hAnsi="FangSong" w:eastAsia="仿宋_GB2312"/>
                <w:b w:val="0"/>
                <w:color w:val="000000"/>
                <w:kern w:val="0"/>
                <w:sz w:val="21"/>
                <w:szCs w:val="21"/>
              </w:rPr>
              <w:t>社团财务管理情况</w:t>
            </w:r>
          </w:p>
        </w:tc>
        <w:tc>
          <w:tcPr>
            <w:tcW w:w="860" w:type="dxa"/>
            <w:vMerge w:val="restart"/>
            <w:tcMar>
              <w:left w:w="0" w:type="dxa"/>
              <w:right w:w="0" w:type="dxa"/>
            </w:tcMar>
            <w:vAlign w:val="center"/>
          </w:tcPr>
          <w:p w14:paraId="1BFE1DC6">
            <w:pPr>
              <w:widowControl/>
              <w:rPr>
                <w:rFonts w:ascii="仿宋_GB2312" w:hAnsi="FangSong" w:eastAsia="仿宋_GB2312"/>
                <w:b w:val="0"/>
                <w:color w:val="000000"/>
                <w:kern w:val="0"/>
                <w:sz w:val="21"/>
                <w:szCs w:val="21"/>
              </w:rPr>
            </w:pPr>
            <w:r>
              <w:rPr>
                <w:rFonts w:hint="eastAsia" w:ascii="仿宋_GB2312" w:hAnsi="FangSong" w:eastAsia="仿宋_GB2312"/>
                <w:b w:val="0"/>
                <w:color w:val="000000"/>
                <w:kern w:val="0"/>
                <w:sz w:val="21"/>
                <w:szCs w:val="21"/>
              </w:rPr>
              <w:t>5</w:t>
            </w:r>
          </w:p>
        </w:tc>
        <w:tc>
          <w:tcPr>
            <w:tcW w:w="3839" w:type="dxa"/>
            <w:vMerge w:val="restart"/>
            <w:tcMar>
              <w:left w:w="0" w:type="dxa"/>
              <w:right w:w="0" w:type="dxa"/>
            </w:tcMar>
            <w:vAlign w:val="center"/>
          </w:tcPr>
          <w:p w14:paraId="7EC8F5AA">
            <w:pPr>
              <w:widowControl/>
              <w:jc w:val="left"/>
              <w:rPr>
                <w:rFonts w:ascii="仿宋_GB2312" w:hAnsi="FangSong" w:eastAsia="仿宋_GB2312"/>
                <w:b w:val="0"/>
                <w:color w:val="000000"/>
                <w:kern w:val="0"/>
                <w:sz w:val="21"/>
                <w:szCs w:val="21"/>
              </w:rPr>
            </w:pPr>
            <w:r>
              <w:rPr>
                <w:rFonts w:hint="eastAsia" w:ascii="仿宋_GB2312" w:hAnsi="FangSong" w:eastAsia="仿宋_GB2312"/>
                <w:b w:val="0"/>
                <w:color w:val="000000"/>
                <w:kern w:val="0"/>
                <w:sz w:val="21"/>
                <w:szCs w:val="21"/>
              </w:rPr>
              <w:t>包括对社团财务月度报道、财务年审情况的考察。账本信息不详尽、未按要求提交相关材料的酌情扣分。得分由社团管理部社团事务办公室评定。</w:t>
            </w:r>
          </w:p>
        </w:tc>
      </w:tr>
      <w:tr w14:paraId="5103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trPr>
        <w:tc>
          <w:tcPr>
            <w:tcW w:w="1561" w:type="dxa"/>
            <w:vMerge w:val="continue"/>
            <w:tcMar>
              <w:left w:w="0" w:type="dxa"/>
              <w:right w:w="0" w:type="dxa"/>
            </w:tcMar>
            <w:vAlign w:val="center"/>
          </w:tcPr>
          <w:p w14:paraId="616F0540">
            <w:pPr>
              <w:contextualSpacing/>
              <w:rPr>
                <w:rFonts w:ascii="仿宋_GB2312" w:hAnsi="FangSong" w:eastAsia="仿宋_GB2312"/>
                <w:color w:val="000000"/>
                <w:kern w:val="0"/>
                <w:sz w:val="21"/>
                <w:szCs w:val="21"/>
              </w:rPr>
            </w:pPr>
            <w:bookmarkStart w:id="2" w:name="OLE_LINK1" w:colFirst="1" w:colLast="3"/>
          </w:p>
        </w:tc>
        <w:tc>
          <w:tcPr>
            <w:tcW w:w="2262" w:type="dxa"/>
            <w:vMerge w:val="continue"/>
            <w:tcMar>
              <w:left w:w="0" w:type="dxa"/>
              <w:right w:w="0" w:type="dxa"/>
            </w:tcMar>
            <w:vAlign w:val="center"/>
          </w:tcPr>
          <w:p w14:paraId="7B295977">
            <w:pPr>
              <w:widowControl/>
              <w:contextualSpacing/>
              <w:rPr>
                <w:rFonts w:ascii="仿宋_GB2312" w:hAnsi="FangSong" w:eastAsia="仿宋_GB2312"/>
                <w:b w:val="0"/>
                <w:color w:val="000000"/>
                <w:kern w:val="0"/>
                <w:sz w:val="21"/>
                <w:szCs w:val="21"/>
              </w:rPr>
            </w:pPr>
            <w:r>
              <w:rPr>
                <w:rFonts w:hint="eastAsia" w:ascii="仿宋_GB2312" w:hAnsi="FangSong" w:eastAsia="仿宋_GB2312"/>
                <w:b w:val="0"/>
                <w:color w:val="000000"/>
                <w:kern w:val="0"/>
                <w:sz w:val="21"/>
                <w:szCs w:val="21"/>
              </w:rPr>
              <w:t>社团财务管理</w:t>
            </w:r>
          </w:p>
          <w:p w14:paraId="7C5A15AD">
            <w:pPr>
              <w:widowControl/>
              <w:contextualSpacing/>
              <w:rPr>
                <w:rFonts w:ascii="仿宋_GB2312" w:hAnsi="FangSong" w:eastAsia="仿宋_GB2312"/>
                <w:b w:val="0"/>
                <w:color w:val="000000"/>
                <w:kern w:val="0"/>
                <w:sz w:val="21"/>
                <w:szCs w:val="21"/>
              </w:rPr>
            </w:pPr>
            <w:r>
              <w:rPr>
                <w:rFonts w:hint="eastAsia" w:ascii="仿宋_GB2312" w:hAnsi="FangSong" w:eastAsia="仿宋_GB2312"/>
                <w:b w:val="0"/>
                <w:color w:val="000000"/>
                <w:kern w:val="0"/>
                <w:sz w:val="21"/>
                <w:szCs w:val="21"/>
              </w:rPr>
              <w:t>收支情况</w:t>
            </w:r>
          </w:p>
        </w:tc>
        <w:tc>
          <w:tcPr>
            <w:tcW w:w="860" w:type="dxa"/>
            <w:vMerge w:val="continue"/>
            <w:tcMar>
              <w:left w:w="0" w:type="dxa"/>
              <w:right w:w="0" w:type="dxa"/>
            </w:tcMar>
            <w:vAlign w:val="center"/>
          </w:tcPr>
          <w:p w14:paraId="26FE79D2">
            <w:pPr>
              <w:widowControl/>
              <w:contextualSpacing/>
              <w:rPr>
                <w:rFonts w:ascii="仿宋_GB2312" w:hAnsi="FangSong" w:eastAsia="仿宋_GB2312"/>
                <w:b w:val="0"/>
                <w:color w:val="000000"/>
                <w:kern w:val="0"/>
                <w:sz w:val="21"/>
                <w:szCs w:val="21"/>
              </w:rPr>
            </w:pPr>
            <w:r>
              <w:rPr>
                <w:rFonts w:ascii="仿宋_GB2312" w:hAnsi="FangSong" w:eastAsia="仿宋_GB2312"/>
                <w:b w:val="0"/>
                <w:color w:val="000000"/>
                <w:kern w:val="0"/>
                <w:sz w:val="21"/>
                <w:szCs w:val="21"/>
              </w:rPr>
              <w:t>5</w:t>
            </w:r>
          </w:p>
        </w:tc>
        <w:tc>
          <w:tcPr>
            <w:tcW w:w="3839" w:type="dxa"/>
            <w:vMerge w:val="continue"/>
            <w:tcMar>
              <w:left w:w="0" w:type="dxa"/>
              <w:right w:w="0" w:type="dxa"/>
            </w:tcMar>
            <w:vAlign w:val="center"/>
          </w:tcPr>
          <w:p w14:paraId="0B943D64">
            <w:pPr>
              <w:widowControl/>
              <w:contextualSpacing/>
              <w:jc w:val="left"/>
              <w:rPr>
                <w:rFonts w:ascii="仿宋_GB2312" w:hAnsi="FangSong" w:eastAsia="仿宋_GB2312"/>
                <w:b w:val="0"/>
                <w:color w:val="000000"/>
                <w:kern w:val="0"/>
                <w:sz w:val="21"/>
                <w:szCs w:val="21"/>
              </w:rPr>
            </w:pPr>
            <w:r>
              <w:rPr>
                <w:rFonts w:hint="eastAsia" w:ascii="仿宋_GB2312" w:hAnsi="FangSong" w:eastAsia="仿宋_GB2312"/>
                <w:b w:val="0"/>
                <w:color w:val="000000"/>
                <w:kern w:val="0"/>
                <w:sz w:val="21"/>
                <w:szCs w:val="21"/>
              </w:rPr>
              <w:t>账目详尽、财务管理有序得</w:t>
            </w:r>
            <w:r>
              <w:rPr>
                <w:rFonts w:ascii="仿宋_GB2312" w:hAnsi="FangSong" w:eastAsia="仿宋_GB2312"/>
                <w:b w:val="0"/>
                <w:color w:val="000000"/>
                <w:kern w:val="0"/>
                <w:sz w:val="21"/>
                <w:szCs w:val="21"/>
              </w:rPr>
              <w:t>5</w:t>
            </w:r>
            <w:r>
              <w:rPr>
                <w:rFonts w:hint="eastAsia" w:ascii="仿宋_GB2312" w:hAnsi="FangSong" w:eastAsia="仿宋_GB2312"/>
                <w:b w:val="0"/>
                <w:color w:val="000000"/>
                <w:kern w:val="0"/>
                <w:sz w:val="21"/>
                <w:szCs w:val="21"/>
              </w:rPr>
              <w:t>分，账目有遗漏，每遗漏一处扣2分，至多扣5分。</w:t>
            </w:r>
          </w:p>
        </w:tc>
      </w:tr>
      <w:bookmarkEnd w:id="2"/>
      <w:tr w14:paraId="61CD8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6" w:hRule="atLeast"/>
        </w:trPr>
        <w:tc>
          <w:tcPr>
            <w:tcW w:w="1561" w:type="dxa"/>
            <w:tcMar>
              <w:left w:w="0" w:type="dxa"/>
              <w:right w:w="0" w:type="dxa"/>
            </w:tcMar>
            <w:vAlign w:val="center"/>
          </w:tcPr>
          <w:p w14:paraId="4A97622F">
            <w:pPr>
              <w:widowControl/>
              <w:contextualSpacing/>
              <w:rPr>
                <w:rFonts w:ascii="仿宋_GB2312" w:hAnsi="FangSong" w:eastAsia="仿宋_GB2312"/>
                <w:b w:val="0"/>
                <w:color w:val="000000"/>
                <w:kern w:val="0"/>
                <w:sz w:val="21"/>
                <w:szCs w:val="21"/>
              </w:rPr>
            </w:pPr>
            <w:r>
              <w:rPr>
                <w:rFonts w:hint="eastAsia" w:ascii="仿宋_GB2312" w:hAnsi="FangSong" w:eastAsia="仿宋_GB2312"/>
                <w:color w:val="000000"/>
                <w:kern w:val="0"/>
                <w:sz w:val="21"/>
                <w:szCs w:val="21"/>
              </w:rPr>
              <w:t>社团巡礼节</w:t>
            </w:r>
          </w:p>
        </w:tc>
        <w:tc>
          <w:tcPr>
            <w:tcW w:w="2262" w:type="dxa"/>
            <w:tcMar>
              <w:left w:w="0" w:type="dxa"/>
              <w:right w:w="0" w:type="dxa"/>
            </w:tcMar>
            <w:vAlign w:val="center"/>
          </w:tcPr>
          <w:p w14:paraId="2C9E8655">
            <w:pPr>
              <w:contextualSpacing/>
              <w:rPr>
                <w:rFonts w:ascii="仿宋_GB2312" w:hAnsi="FangSong" w:eastAsia="仿宋_GB2312"/>
                <w:b w:val="0"/>
                <w:color w:val="000000"/>
                <w:kern w:val="0"/>
                <w:sz w:val="21"/>
                <w:szCs w:val="21"/>
              </w:rPr>
            </w:pPr>
            <w:r>
              <w:rPr>
                <w:rFonts w:hint="eastAsia" w:ascii="仿宋_GB2312" w:hAnsi="FangSong" w:eastAsia="仿宋_GB2312"/>
                <w:b w:val="0"/>
                <w:color w:val="000000"/>
                <w:kern w:val="0"/>
                <w:sz w:val="21"/>
                <w:szCs w:val="21"/>
              </w:rPr>
              <w:t>社团在巡礼节系列活动中参与情况</w:t>
            </w:r>
          </w:p>
        </w:tc>
        <w:tc>
          <w:tcPr>
            <w:tcW w:w="860" w:type="dxa"/>
            <w:tcMar>
              <w:left w:w="0" w:type="dxa"/>
              <w:right w:w="0" w:type="dxa"/>
            </w:tcMar>
            <w:vAlign w:val="center"/>
          </w:tcPr>
          <w:p w14:paraId="58943BE0">
            <w:pPr>
              <w:contextualSpacing/>
              <w:rPr>
                <w:rFonts w:ascii="仿宋_GB2312" w:hAnsi="FangSong" w:eastAsia="仿宋_GB2312"/>
                <w:b w:val="0"/>
                <w:color w:val="000000"/>
                <w:kern w:val="0"/>
                <w:sz w:val="21"/>
                <w:szCs w:val="21"/>
              </w:rPr>
            </w:pPr>
            <w:r>
              <w:rPr>
                <w:rFonts w:hint="eastAsia" w:ascii="仿宋_GB2312" w:hAnsi="FangSong" w:eastAsia="仿宋_GB2312"/>
                <w:b w:val="0"/>
                <w:color w:val="000000"/>
                <w:kern w:val="0"/>
                <w:sz w:val="21"/>
                <w:szCs w:val="21"/>
              </w:rPr>
              <w:t>10</w:t>
            </w:r>
          </w:p>
        </w:tc>
        <w:tc>
          <w:tcPr>
            <w:tcW w:w="3839" w:type="dxa"/>
            <w:tcMar>
              <w:left w:w="0" w:type="dxa"/>
              <w:right w:w="0" w:type="dxa"/>
            </w:tcMar>
            <w:vAlign w:val="center"/>
          </w:tcPr>
          <w:p w14:paraId="49C9E7C7">
            <w:pPr>
              <w:contextualSpacing/>
              <w:jc w:val="left"/>
              <w:rPr>
                <w:rFonts w:ascii="仿宋_GB2312" w:hAnsi="FangSong" w:eastAsia="仿宋_GB2312"/>
                <w:b w:val="0"/>
                <w:color w:val="000000"/>
                <w:kern w:val="0"/>
                <w:sz w:val="21"/>
                <w:szCs w:val="21"/>
              </w:rPr>
            </w:pPr>
            <w:r>
              <w:rPr>
                <w:rFonts w:hint="eastAsia" w:ascii="仿宋_GB2312" w:hAnsi="FangSong" w:eastAsia="仿宋_GB2312"/>
                <w:b w:val="0"/>
                <w:color w:val="000000"/>
                <w:kern w:val="0"/>
                <w:sz w:val="21"/>
                <w:szCs w:val="21"/>
              </w:rPr>
              <w:t>根据本学年巡礼节系列活动的报名数据，考量社团在巡礼节的参与程度。得分由社团管理部项目管理办公室评定。</w:t>
            </w:r>
          </w:p>
        </w:tc>
      </w:tr>
      <w:tr w14:paraId="1A14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6" w:hRule="atLeast"/>
        </w:trPr>
        <w:tc>
          <w:tcPr>
            <w:tcW w:w="1561" w:type="dxa"/>
            <w:tcMar>
              <w:left w:w="0" w:type="dxa"/>
              <w:right w:w="0" w:type="dxa"/>
            </w:tcMar>
            <w:vAlign w:val="center"/>
          </w:tcPr>
          <w:p w14:paraId="253D5B45">
            <w:pPr>
              <w:widowControl/>
              <w:contextualSpacing/>
              <w:rPr>
                <w:rFonts w:ascii="仿宋_GB2312" w:hAnsi="FangSong" w:eastAsia="仿宋_GB2312"/>
                <w:color w:val="000000"/>
                <w:kern w:val="0"/>
                <w:sz w:val="21"/>
                <w:szCs w:val="21"/>
              </w:rPr>
            </w:pPr>
            <w:r>
              <w:rPr>
                <w:rFonts w:hint="eastAsia" w:ascii="仿宋_GB2312" w:hAnsi="FangSong" w:eastAsia="仿宋_GB2312"/>
                <w:color w:val="000000"/>
                <w:kern w:val="0"/>
                <w:sz w:val="21"/>
                <w:szCs w:val="21"/>
              </w:rPr>
              <w:t>百团大战</w:t>
            </w:r>
          </w:p>
        </w:tc>
        <w:tc>
          <w:tcPr>
            <w:tcW w:w="2262" w:type="dxa"/>
            <w:tcMar>
              <w:left w:w="0" w:type="dxa"/>
              <w:right w:w="0" w:type="dxa"/>
            </w:tcMar>
            <w:vAlign w:val="center"/>
          </w:tcPr>
          <w:p w14:paraId="3DE32B60">
            <w:pPr>
              <w:contextualSpacing/>
              <w:rPr>
                <w:rFonts w:ascii="仿宋_GB2312" w:hAnsi="FangSong" w:eastAsia="仿宋_GB2312"/>
                <w:b w:val="0"/>
                <w:color w:val="000000"/>
                <w:kern w:val="0"/>
                <w:sz w:val="21"/>
                <w:szCs w:val="21"/>
              </w:rPr>
            </w:pPr>
            <w:r>
              <w:rPr>
                <w:rFonts w:hint="eastAsia" w:ascii="仿宋_GB2312" w:hAnsi="FangSong" w:eastAsia="仿宋_GB2312"/>
                <w:b w:val="0"/>
                <w:color w:val="000000"/>
                <w:kern w:val="0"/>
                <w:sz w:val="21"/>
                <w:szCs w:val="21"/>
              </w:rPr>
              <w:t>百团大战参与情况</w:t>
            </w:r>
          </w:p>
        </w:tc>
        <w:tc>
          <w:tcPr>
            <w:tcW w:w="860" w:type="dxa"/>
            <w:tcMar>
              <w:left w:w="0" w:type="dxa"/>
              <w:right w:w="0" w:type="dxa"/>
            </w:tcMar>
            <w:vAlign w:val="center"/>
          </w:tcPr>
          <w:p w14:paraId="4F03DC63">
            <w:pPr>
              <w:contextualSpacing/>
              <w:rPr>
                <w:rFonts w:ascii="仿宋_GB2312" w:hAnsi="FangSong" w:eastAsia="仿宋_GB2312"/>
                <w:b w:val="0"/>
                <w:color w:val="000000"/>
                <w:kern w:val="0"/>
                <w:sz w:val="21"/>
                <w:szCs w:val="21"/>
              </w:rPr>
            </w:pPr>
            <w:r>
              <w:rPr>
                <w:rFonts w:ascii="仿宋_GB2312" w:hAnsi="FangSong" w:eastAsia="仿宋_GB2312"/>
                <w:b w:val="0"/>
                <w:color w:val="000000"/>
                <w:kern w:val="0"/>
                <w:sz w:val="21"/>
                <w:szCs w:val="21"/>
              </w:rPr>
              <w:t>5</w:t>
            </w:r>
          </w:p>
        </w:tc>
        <w:tc>
          <w:tcPr>
            <w:tcW w:w="3839" w:type="dxa"/>
            <w:tcMar>
              <w:left w:w="0" w:type="dxa"/>
              <w:right w:w="0" w:type="dxa"/>
            </w:tcMar>
            <w:vAlign w:val="center"/>
          </w:tcPr>
          <w:p w14:paraId="622AABFD">
            <w:pPr>
              <w:contextualSpacing/>
              <w:jc w:val="left"/>
              <w:rPr>
                <w:rFonts w:ascii="仿宋_GB2312" w:hAnsi="FangSong" w:eastAsia="仿宋_GB2312"/>
                <w:b w:val="0"/>
                <w:color w:val="000000"/>
                <w:kern w:val="0"/>
                <w:sz w:val="21"/>
                <w:szCs w:val="21"/>
              </w:rPr>
            </w:pPr>
            <w:r>
              <w:rPr>
                <w:rFonts w:hint="eastAsia" w:ascii="仿宋_GB2312" w:hAnsi="FangSong" w:eastAsia="仿宋_GB2312"/>
                <w:b w:val="0"/>
                <w:color w:val="000000"/>
                <w:kern w:val="0"/>
                <w:sz w:val="21"/>
                <w:szCs w:val="21"/>
              </w:rPr>
              <w:t>包括对社团对本学年百团大战实际参与情况的考核，参与两个校区百团大战得5分，参与一个校区百团大战得3分，未参与百团大战得0分。</w:t>
            </w:r>
          </w:p>
        </w:tc>
      </w:tr>
      <w:tr w14:paraId="541BC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1561" w:type="dxa"/>
            <w:tcMar>
              <w:left w:w="0" w:type="dxa"/>
              <w:right w:w="0" w:type="dxa"/>
            </w:tcMar>
            <w:vAlign w:val="center"/>
          </w:tcPr>
          <w:p w14:paraId="2E6B5000">
            <w:pPr>
              <w:widowControl/>
              <w:contextualSpacing/>
              <w:rPr>
                <w:rFonts w:ascii="仿宋_GB2312" w:hAnsi="FangSong" w:eastAsia="仿宋_GB2312"/>
                <w:color w:val="000000"/>
                <w:kern w:val="0"/>
                <w:sz w:val="21"/>
                <w:szCs w:val="21"/>
              </w:rPr>
            </w:pPr>
            <w:r>
              <w:rPr>
                <w:rFonts w:hint="eastAsia" w:ascii="仿宋_GB2312" w:hAnsi="FangSong" w:eastAsia="仿宋_GB2312"/>
                <w:color w:val="000000"/>
                <w:kern w:val="0"/>
                <w:sz w:val="21"/>
                <w:szCs w:val="21"/>
              </w:rPr>
              <w:t>社团答辩</w:t>
            </w:r>
          </w:p>
        </w:tc>
        <w:tc>
          <w:tcPr>
            <w:tcW w:w="2262" w:type="dxa"/>
            <w:tcMar>
              <w:left w:w="0" w:type="dxa"/>
              <w:right w:w="0" w:type="dxa"/>
            </w:tcMar>
            <w:vAlign w:val="center"/>
          </w:tcPr>
          <w:p w14:paraId="65E8E26B">
            <w:pPr>
              <w:widowControl/>
              <w:contextualSpacing/>
              <w:rPr>
                <w:rFonts w:ascii="仿宋_GB2312" w:hAnsi="FangSong" w:eastAsia="仿宋_GB2312"/>
                <w:b w:val="0"/>
                <w:color w:val="000000"/>
                <w:kern w:val="0"/>
                <w:sz w:val="21"/>
                <w:szCs w:val="21"/>
              </w:rPr>
            </w:pPr>
            <w:r>
              <w:rPr>
                <w:rFonts w:hint="eastAsia" w:ascii="仿宋_GB2312" w:hAnsi="FangSong" w:eastAsia="仿宋_GB2312"/>
                <w:b w:val="0"/>
                <w:color w:val="000000"/>
                <w:kern w:val="0"/>
                <w:sz w:val="21"/>
                <w:szCs w:val="21"/>
              </w:rPr>
              <w:t>学生社团答辩情况</w:t>
            </w:r>
          </w:p>
        </w:tc>
        <w:tc>
          <w:tcPr>
            <w:tcW w:w="860" w:type="dxa"/>
            <w:tcMar>
              <w:left w:w="0" w:type="dxa"/>
              <w:right w:w="0" w:type="dxa"/>
            </w:tcMar>
            <w:vAlign w:val="center"/>
          </w:tcPr>
          <w:p w14:paraId="32431B95">
            <w:pPr>
              <w:widowControl/>
              <w:contextualSpacing/>
              <w:rPr>
                <w:rFonts w:ascii="仿宋_GB2312" w:hAnsi="FangSong" w:eastAsia="仿宋_GB2312"/>
                <w:b w:val="0"/>
                <w:color w:val="000000"/>
                <w:kern w:val="0"/>
                <w:sz w:val="21"/>
                <w:szCs w:val="21"/>
              </w:rPr>
            </w:pPr>
            <w:r>
              <w:rPr>
                <w:rFonts w:hint="eastAsia" w:ascii="仿宋_GB2312" w:hAnsi="FangSong" w:eastAsia="仿宋_GB2312"/>
                <w:b w:val="0"/>
                <w:color w:val="000000"/>
                <w:kern w:val="0"/>
                <w:sz w:val="21"/>
                <w:szCs w:val="21"/>
              </w:rPr>
              <w:t>30</w:t>
            </w:r>
          </w:p>
        </w:tc>
        <w:tc>
          <w:tcPr>
            <w:tcW w:w="3839" w:type="dxa"/>
            <w:tcMar>
              <w:left w:w="0" w:type="dxa"/>
              <w:right w:w="0" w:type="dxa"/>
            </w:tcMar>
            <w:vAlign w:val="center"/>
          </w:tcPr>
          <w:p w14:paraId="5385EE82">
            <w:pPr>
              <w:widowControl/>
              <w:contextualSpacing/>
              <w:jc w:val="left"/>
              <w:rPr>
                <w:rFonts w:ascii="仿宋_GB2312" w:hAnsi="FangSong" w:eastAsia="仿宋_GB2312"/>
                <w:b w:val="0"/>
                <w:color w:val="000000"/>
                <w:kern w:val="0"/>
                <w:sz w:val="21"/>
                <w:szCs w:val="21"/>
              </w:rPr>
            </w:pPr>
            <w:r>
              <w:rPr>
                <w:rFonts w:hint="eastAsia" w:ascii="仿宋_GB2312" w:hAnsi="FangSong" w:eastAsia="仿宋_GB2312"/>
                <w:b w:val="0"/>
                <w:color w:val="000000"/>
                <w:kern w:val="0"/>
                <w:sz w:val="21"/>
                <w:szCs w:val="21"/>
              </w:rPr>
              <w:t>此项仅进入五四答辩的学生社团参与评分。</w:t>
            </w:r>
          </w:p>
        </w:tc>
      </w:tr>
      <w:tr w14:paraId="4CB3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2" w:hRule="atLeast"/>
        </w:trPr>
        <w:tc>
          <w:tcPr>
            <w:tcW w:w="1561" w:type="dxa"/>
            <w:vMerge w:val="restart"/>
            <w:tcMar>
              <w:left w:w="0" w:type="dxa"/>
              <w:right w:w="0" w:type="dxa"/>
            </w:tcMar>
            <w:vAlign w:val="center"/>
          </w:tcPr>
          <w:p w14:paraId="47BD6EB2">
            <w:pPr>
              <w:widowControl/>
              <w:contextualSpacing/>
              <w:rPr>
                <w:rFonts w:ascii="仿宋_GB2312" w:hAnsi="FangSong" w:eastAsia="仿宋_GB2312"/>
                <w:color w:val="000000"/>
                <w:kern w:val="0"/>
                <w:sz w:val="21"/>
                <w:szCs w:val="21"/>
              </w:rPr>
            </w:pPr>
            <w:r>
              <w:rPr>
                <w:rFonts w:hint="eastAsia" w:ascii="仿宋_GB2312" w:hAnsi="FangSong" w:eastAsia="仿宋_GB2312"/>
                <w:color w:val="000000"/>
                <w:kern w:val="0"/>
                <w:sz w:val="21"/>
                <w:szCs w:val="21"/>
              </w:rPr>
              <w:t>附加分项</w:t>
            </w:r>
          </w:p>
        </w:tc>
        <w:tc>
          <w:tcPr>
            <w:tcW w:w="2262" w:type="dxa"/>
            <w:tcMar>
              <w:left w:w="0" w:type="dxa"/>
              <w:right w:w="0" w:type="dxa"/>
            </w:tcMar>
            <w:vAlign w:val="center"/>
          </w:tcPr>
          <w:p w14:paraId="494C754F">
            <w:pPr>
              <w:widowControl/>
              <w:contextualSpacing/>
              <w:rPr>
                <w:rFonts w:ascii="仿宋_GB2312" w:hAnsi="FangSong" w:eastAsia="仿宋_GB2312"/>
                <w:b w:val="0"/>
                <w:color w:val="000000"/>
                <w:kern w:val="0"/>
                <w:sz w:val="21"/>
                <w:szCs w:val="21"/>
              </w:rPr>
            </w:pPr>
            <w:r>
              <w:rPr>
                <w:rFonts w:hint="eastAsia" w:ascii="仿宋_GB2312" w:hAnsi="FangSong" w:eastAsia="仿宋_GB2312"/>
                <w:b w:val="0"/>
                <w:color w:val="000000"/>
                <w:kern w:val="0"/>
                <w:sz w:val="21"/>
                <w:szCs w:val="21"/>
              </w:rPr>
              <w:t>社团获奖加分</w:t>
            </w:r>
          </w:p>
        </w:tc>
        <w:tc>
          <w:tcPr>
            <w:tcW w:w="860" w:type="dxa"/>
            <w:vMerge w:val="restart"/>
            <w:tcMar>
              <w:left w:w="0" w:type="dxa"/>
              <w:right w:w="0" w:type="dxa"/>
            </w:tcMar>
            <w:vAlign w:val="center"/>
          </w:tcPr>
          <w:p w14:paraId="153D3EF4">
            <w:pPr>
              <w:widowControl/>
              <w:contextualSpacing/>
              <w:rPr>
                <w:rFonts w:ascii="仿宋_GB2312" w:hAnsi="FangSong" w:eastAsia="仿宋_GB2312"/>
                <w:b w:val="0"/>
                <w:color w:val="000000"/>
                <w:kern w:val="0"/>
                <w:sz w:val="21"/>
                <w:szCs w:val="21"/>
              </w:rPr>
            </w:pPr>
            <w:r>
              <w:rPr>
                <w:rFonts w:hint="eastAsia" w:ascii="仿宋_GB2312" w:hAnsi="FangSong" w:eastAsia="仿宋_GB2312"/>
                <w:b w:val="0"/>
                <w:color w:val="000000"/>
                <w:kern w:val="0"/>
                <w:sz w:val="21"/>
                <w:szCs w:val="21"/>
              </w:rPr>
              <w:t>10</w:t>
            </w:r>
          </w:p>
        </w:tc>
        <w:tc>
          <w:tcPr>
            <w:tcW w:w="3839" w:type="dxa"/>
            <w:vMerge w:val="restart"/>
            <w:tcMar>
              <w:left w:w="0" w:type="dxa"/>
              <w:right w:w="0" w:type="dxa"/>
            </w:tcMar>
            <w:vAlign w:val="center"/>
          </w:tcPr>
          <w:p w14:paraId="69A4D5A7">
            <w:pPr>
              <w:widowControl/>
              <w:contextualSpacing/>
              <w:jc w:val="left"/>
              <w:rPr>
                <w:rFonts w:ascii="仿宋_GB2312" w:hAnsi="FangSong" w:eastAsia="仿宋_GB2312"/>
                <w:b w:val="0"/>
                <w:color w:val="000000"/>
                <w:kern w:val="0"/>
                <w:sz w:val="21"/>
                <w:szCs w:val="21"/>
              </w:rPr>
            </w:pPr>
            <w:r>
              <w:rPr>
                <w:rFonts w:hint="eastAsia" w:ascii="仿宋_GB2312" w:hAnsi="FangSong" w:eastAsia="仿宋_GB2312"/>
                <w:b w:val="0"/>
                <w:color w:val="000000"/>
                <w:kern w:val="0"/>
                <w:sz w:val="21"/>
                <w:szCs w:val="21"/>
              </w:rPr>
              <w:t>1、学生社团获奖（与社团性质相关团体奖，无关奖项不计入得分）：国家级加5分；省级加3分；市级加2分；</w:t>
            </w:r>
          </w:p>
          <w:p w14:paraId="73A55EA7">
            <w:pPr>
              <w:widowControl/>
              <w:contextualSpacing/>
              <w:jc w:val="left"/>
              <w:rPr>
                <w:rFonts w:ascii="仿宋_GB2312" w:hAnsi="FangSong" w:eastAsia="仿宋_GB2312"/>
                <w:b w:val="0"/>
                <w:color w:val="000000"/>
                <w:kern w:val="0"/>
                <w:sz w:val="21"/>
                <w:szCs w:val="21"/>
              </w:rPr>
            </w:pPr>
            <w:r>
              <w:rPr>
                <w:rFonts w:hint="eastAsia" w:ascii="仿宋_GB2312" w:hAnsi="FangSong" w:eastAsia="仿宋_GB2312"/>
                <w:b w:val="0"/>
                <w:color w:val="000000"/>
                <w:kern w:val="0"/>
                <w:sz w:val="21"/>
                <w:szCs w:val="21"/>
              </w:rPr>
              <w:t>2、社团成员获奖（与社团性质相关个人奖，</w:t>
            </w:r>
            <w:bookmarkStart w:id="3" w:name="OLE_LINK4"/>
            <w:r>
              <w:rPr>
                <w:rFonts w:hint="eastAsia" w:ascii="仿宋_GB2312" w:hAnsi="FangSong" w:eastAsia="仿宋_GB2312"/>
                <w:b w:val="0"/>
                <w:color w:val="000000"/>
                <w:kern w:val="0"/>
                <w:sz w:val="21"/>
                <w:szCs w:val="21"/>
              </w:rPr>
              <w:t>无关奖项不计入得分</w:t>
            </w:r>
            <w:bookmarkEnd w:id="3"/>
            <w:r>
              <w:rPr>
                <w:rFonts w:hint="eastAsia" w:ascii="仿宋_GB2312" w:hAnsi="FangSong" w:eastAsia="仿宋_GB2312"/>
                <w:b w:val="0"/>
                <w:color w:val="000000"/>
                <w:kern w:val="0"/>
                <w:sz w:val="21"/>
                <w:szCs w:val="21"/>
              </w:rPr>
              <w:t>）：国家级加1.5分/人次；省级加1分/人次；市级加0.5分/人次；</w:t>
            </w:r>
          </w:p>
          <w:p w14:paraId="2A2D1798">
            <w:pPr>
              <w:widowControl/>
              <w:contextualSpacing/>
              <w:jc w:val="left"/>
              <w:rPr>
                <w:rFonts w:ascii="仿宋_GB2312" w:hAnsi="FangSong" w:eastAsia="仿宋_GB2312"/>
                <w:b w:val="0"/>
                <w:color w:val="000000"/>
                <w:kern w:val="0"/>
                <w:sz w:val="21"/>
                <w:szCs w:val="21"/>
              </w:rPr>
            </w:pPr>
            <w:r>
              <w:rPr>
                <w:rFonts w:hint="eastAsia" w:ascii="仿宋_GB2312" w:hAnsi="FangSong" w:eastAsia="仿宋_GB2312"/>
                <w:b w:val="0"/>
                <w:color w:val="000000"/>
                <w:kern w:val="0"/>
                <w:sz w:val="21"/>
                <w:szCs w:val="21"/>
              </w:rPr>
              <w:t>3、宣传加分（与社团性质相关宣传活动，无关宣传活动不计入得分，若相关宣传材料存在质量低下、弄虚作假等情况则按情况进行一定减分，10分为上限）：国家级媒体加</w:t>
            </w:r>
            <w:r>
              <w:rPr>
                <w:rFonts w:ascii="仿宋_GB2312" w:hAnsi="FangSong" w:eastAsia="仿宋_GB2312"/>
                <w:b w:val="0"/>
                <w:color w:val="000000"/>
                <w:kern w:val="0"/>
                <w:sz w:val="21"/>
                <w:szCs w:val="21"/>
              </w:rPr>
              <w:t>5</w:t>
            </w:r>
            <w:r>
              <w:rPr>
                <w:rFonts w:hint="eastAsia" w:ascii="仿宋_GB2312" w:hAnsi="FangSong" w:eastAsia="仿宋_GB2312"/>
                <w:b w:val="0"/>
                <w:color w:val="000000"/>
                <w:kern w:val="0"/>
                <w:sz w:val="21"/>
                <w:szCs w:val="21"/>
              </w:rPr>
              <w:t>分/次；省市级媒体加</w:t>
            </w:r>
            <w:r>
              <w:rPr>
                <w:rFonts w:ascii="仿宋_GB2312" w:hAnsi="FangSong" w:eastAsia="仿宋_GB2312"/>
                <w:b w:val="0"/>
                <w:color w:val="000000"/>
                <w:kern w:val="0"/>
                <w:sz w:val="21"/>
                <w:szCs w:val="21"/>
              </w:rPr>
              <w:t>3</w:t>
            </w:r>
            <w:r>
              <w:rPr>
                <w:rFonts w:hint="eastAsia" w:ascii="仿宋_GB2312" w:hAnsi="FangSong" w:eastAsia="仿宋_GB2312"/>
                <w:b w:val="0"/>
                <w:color w:val="000000"/>
                <w:kern w:val="0"/>
                <w:sz w:val="21"/>
                <w:szCs w:val="21"/>
              </w:rPr>
              <w:t>分/次；校级媒体加1分/次；</w:t>
            </w:r>
          </w:p>
          <w:p w14:paraId="1EEEDD7D">
            <w:pPr>
              <w:widowControl/>
              <w:contextualSpacing/>
              <w:jc w:val="left"/>
              <w:rPr>
                <w:rFonts w:ascii="仿宋_GB2312" w:hAnsi="FangSong" w:eastAsia="仿宋_GB2312"/>
                <w:b w:val="0"/>
                <w:color w:val="000000"/>
                <w:kern w:val="0"/>
                <w:sz w:val="21"/>
                <w:szCs w:val="21"/>
              </w:rPr>
            </w:pPr>
            <w:r>
              <w:rPr>
                <w:rFonts w:hint="eastAsia" w:ascii="仿宋_GB2312" w:hAnsi="FangSong" w:eastAsia="仿宋_GB2312"/>
                <w:b w:val="0"/>
                <w:color w:val="000000"/>
                <w:kern w:val="0"/>
                <w:sz w:val="21"/>
                <w:szCs w:val="21"/>
              </w:rPr>
              <w:t>4、请将附加分项证明材料附在申报材料中。</w:t>
            </w:r>
          </w:p>
        </w:tc>
      </w:tr>
      <w:tr w14:paraId="1CAE9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5" w:hRule="atLeast"/>
        </w:trPr>
        <w:tc>
          <w:tcPr>
            <w:tcW w:w="1561" w:type="dxa"/>
            <w:vMerge w:val="continue"/>
            <w:tcMar>
              <w:left w:w="0" w:type="dxa"/>
              <w:right w:w="0" w:type="dxa"/>
            </w:tcMar>
            <w:vAlign w:val="center"/>
          </w:tcPr>
          <w:p w14:paraId="2987C443">
            <w:pPr>
              <w:widowControl/>
              <w:contextualSpacing/>
              <w:rPr>
                <w:rFonts w:ascii="仿宋_GB2312" w:hAnsi="FangSong" w:eastAsia="仿宋_GB2312"/>
                <w:color w:val="000000"/>
                <w:kern w:val="0"/>
                <w:sz w:val="21"/>
                <w:szCs w:val="21"/>
              </w:rPr>
            </w:pPr>
          </w:p>
        </w:tc>
        <w:tc>
          <w:tcPr>
            <w:tcW w:w="2262" w:type="dxa"/>
            <w:tcMar>
              <w:left w:w="0" w:type="dxa"/>
              <w:right w:w="0" w:type="dxa"/>
            </w:tcMar>
            <w:vAlign w:val="center"/>
          </w:tcPr>
          <w:p w14:paraId="58810D2A">
            <w:pPr>
              <w:widowControl/>
              <w:contextualSpacing/>
              <w:rPr>
                <w:rFonts w:ascii="仿宋_GB2312" w:hAnsi="FangSong" w:eastAsia="仿宋_GB2312"/>
                <w:b w:val="0"/>
                <w:color w:val="000000"/>
                <w:kern w:val="0"/>
                <w:sz w:val="21"/>
                <w:szCs w:val="21"/>
              </w:rPr>
            </w:pPr>
            <w:r>
              <w:rPr>
                <w:rFonts w:hint="eastAsia" w:ascii="仿宋_GB2312" w:hAnsi="FangSong" w:eastAsia="仿宋_GB2312"/>
                <w:b w:val="0"/>
                <w:color w:val="000000"/>
                <w:kern w:val="0"/>
                <w:sz w:val="21"/>
                <w:szCs w:val="21"/>
              </w:rPr>
              <w:t>宣传加分</w:t>
            </w:r>
          </w:p>
        </w:tc>
        <w:tc>
          <w:tcPr>
            <w:tcW w:w="860" w:type="dxa"/>
            <w:vMerge w:val="continue"/>
            <w:tcMar>
              <w:left w:w="0" w:type="dxa"/>
              <w:right w:w="0" w:type="dxa"/>
            </w:tcMar>
            <w:vAlign w:val="center"/>
          </w:tcPr>
          <w:p w14:paraId="69E2E164">
            <w:pPr>
              <w:widowControl/>
              <w:contextualSpacing/>
              <w:rPr>
                <w:rFonts w:ascii="仿宋_GB2312" w:hAnsi="FangSong" w:eastAsia="仿宋_GB2312"/>
                <w:b w:val="0"/>
                <w:color w:val="000000"/>
                <w:kern w:val="0"/>
                <w:sz w:val="21"/>
                <w:szCs w:val="21"/>
              </w:rPr>
            </w:pPr>
          </w:p>
        </w:tc>
        <w:tc>
          <w:tcPr>
            <w:tcW w:w="3839" w:type="dxa"/>
            <w:vMerge w:val="continue"/>
            <w:tcMar>
              <w:left w:w="0" w:type="dxa"/>
              <w:right w:w="0" w:type="dxa"/>
            </w:tcMar>
            <w:vAlign w:val="center"/>
          </w:tcPr>
          <w:p w14:paraId="3FEDB110">
            <w:pPr>
              <w:widowControl/>
              <w:contextualSpacing/>
              <w:rPr>
                <w:rFonts w:ascii="仿宋_GB2312" w:hAnsi="FangSong" w:eastAsia="仿宋_GB2312"/>
                <w:b w:val="0"/>
                <w:color w:val="000000"/>
                <w:kern w:val="0"/>
                <w:sz w:val="21"/>
                <w:szCs w:val="21"/>
              </w:rPr>
            </w:pPr>
          </w:p>
        </w:tc>
      </w:tr>
      <w:tr w14:paraId="6E8E3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1" w:type="dxa"/>
            <w:vMerge w:val="continue"/>
            <w:tcMar>
              <w:left w:w="0" w:type="dxa"/>
              <w:right w:w="0" w:type="dxa"/>
            </w:tcMar>
            <w:vAlign w:val="center"/>
          </w:tcPr>
          <w:p w14:paraId="70D7E302">
            <w:pPr>
              <w:widowControl/>
              <w:contextualSpacing/>
              <w:rPr>
                <w:rFonts w:ascii="仿宋_GB2312" w:hAnsi="FangSong" w:eastAsia="仿宋_GB2312"/>
                <w:color w:val="000000"/>
                <w:kern w:val="0"/>
                <w:sz w:val="21"/>
                <w:szCs w:val="21"/>
              </w:rPr>
            </w:pPr>
          </w:p>
        </w:tc>
        <w:tc>
          <w:tcPr>
            <w:tcW w:w="2262" w:type="dxa"/>
            <w:tcMar>
              <w:left w:w="0" w:type="dxa"/>
              <w:right w:w="0" w:type="dxa"/>
            </w:tcMar>
            <w:vAlign w:val="center"/>
          </w:tcPr>
          <w:p w14:paraId="252CB459">
            <w:pPr>
              <w:widowControl/>
              <w:ind w:firstLine="420" w:firstLineChars="200"/>
              <w:contextualSpacing/>
              <w:jc w:val="left"/>
              <w:rPr>
                <w:rFonts w:ascii="仿宋_GB2312" w:hAnsi="FangSong" w:eastAsia="仿宋_GB2312"/>
                <w:b w:val="0"/>
                <w:color w:val="000000"/>
                <w:kern w:val="0"/>
                <w:sz w:val="21"/>
                <w:szCs w:val="21"/>
              </w:rPr>
            </w:pPr>
            <w:r>
              <w:rPr>
                <w:rFonts w:hint="eastAsia" w:ascii="仿宋_GB2312" w:hAnsi="FangSong" w:eastAsia="仿宋_GB2312"/>
                <w:b w:val="0"/>
                <w:color w:val="000000"/>
                <w:kern w:val="0"/>
                <w:sz w:val="21"/>
                <w:szCs w:val="21"/>
              </w:rPr>
              <w:t>积极参加和承办社团管理部等组织的各活动</w:t>
            </w:r>
          </w:p>
        </w:tc>
        <w:tc>
          <w:tcPr>
            <w:tcW w:w="860" w:type="dxa"/>
            <w:vMerge w:val="continue"/>
            <w:tcMar>
              <w:left w:w="0" w:type="dxa"/>
              <w:right w:w="0" w:type="dxa"/>
            </w:tcMar>
            <w:vAlign w:val="center"/>
          </w:tcPr>
          <w:p w14:paraId="3F0F6E1C">
            <w:pPr>
              <w:widowControl/>
              <w:contextualSpacing/>
              <w:rPr>
                <w:rFonts w:ascii="仿宋_GB2312" w:hAnsi="FangSong" w:eastAsia="仿宋_GB2312"/>
                <w:b w:val="0"/>
                <w:color w:val="000000"/>
                <w:kern w:val="0"/>
                <w:sz w:val="21"/>
                <w:szCs w:val="21"/>
              </w:rPr>
            </w:pPr>
          </w:p>
        </w:tc>
        <w:tc>
          <w:tcPr>
            <w:tcW w:w="3839" w:type="dxa"/>
            <w:vMerge w:val="continue"/>
            <w:tcMar>
              <w:left w:w="0" w:type="dxa"/>
              <w:right w:w="0" w:type="dxa"/>
            </w:tcMar>
            <w:vAlign w:val="center"/>
          </w:tcPr>
          <w:p w14:paraId="4DFFEF5A">
            <w:pPr>
              <w:widowControl/>
              <w:contextualSpacing/>
              <w:rPr>
                <w:rFonts w:ascii="仿宋_GB2312" w:hAnsi="FangSong" w:eastAsia="仿宋_GB2312"/>
                <w:b w:val="0"/>
                <w:color w:val="000000"/>
                <w:kern w:val="0"/>
                <w:sz w:val="21"/>
                <w:szCs w:val="21"/>
              </w:rPr>
            </w:pPr>
          </w:p>
        </w:tc>
      </w:tr>
    </w:tbl>
    <w:p w14:paraId="62125974">
      <w:pPr>
        <w:pStyle w:val="3"/>
        <w:spacing w:before="95" w:beforeLines="25" w:after="95" w:afterLines="25" w:line="460" w:lineRule="exact"/>
        <w:ind w:firstLine="0" w:firstLineChars="0"/>
        <w:contextualSpacing/>
        <w:rPr>
          <w:rFonts w:ascii="黑体" w:hAnsi="黑体" w:eastAsia="黑体"/>
          <w:color w:val="000000"/>
          <w:kern w:val="0"/>
          <w:sz w:val="32"/>
          <w:szCs w:val="30"/>
        </w:rPr>
      </w:pPr>
      <w:r>
        <w:rPr>
          <w:rFonts w:hint="eastAsia" w:ascii="黑体" w:hAnsi="黑体" w:eastAsia="黑体"/>
          <w:color w:val="000000"/>
          <w:kern w:val="0"/>
          <w:sz w:val="32"/>
          <w:szCs w:val="30"/>
        </w:rPr>
        <w:t>第五章  “优秀社团”评优结果</w:t>
      </w:r>
    </w:p>
    <w:p w14:paraId="74FE9B2B">
      <w:pPr>
        <w:widowControl/>
        <w:spacing w:line="460" w:lineRule="exact"/>
        <w:ind w:firstLine="640" w:firstLineChars="200"/>
        <w:contextualSpacing/>
        <w:jc w:val="both"/>
        <w:rPr>
          <w:rFonts w:ascii="仿宋_GB2312" w:hAnsi="FangSong" w:eastAsia="仿宋_GB2312"/>
          <w:b w:val="0"/>
          <w:color w:val="000000"/>
          <w:kern w:val="0"/>
          <w:szCs w:val="28"/>
        </w:rPr>
      </w:pPr>
      <w:r>
        <w:rPr>
          <w:rFonts w:hint="eastAsia" w:ascii="黑体" w:hAnsi="黑体" w:eastAsia="黑体"/>
          <w:b w:val="0"/>
          <w:color w:val="000000"/>
          <w:kern w:val="0"/>
          <w:sz w:val="32"/>
          <w:szCs w:val="28"/>
        </w:rPr>
        <w:t>第八条</w:t>
      </w:r>
      <w:r>
        <w:rPr>
          <w:rFonts w:hint="eastAsia" w:ascii="仿宋_GB2312" w:hAnsi="FangSong" w:eastAsia="仿宋_GB2312"/>
          <w:b w:val="0"/>
          <w:color w:val="000000"/>
          <w:kern w:val="0"/>
          <w:szCs w:val="28"/>
        </w:rPr>
        <w:t xml:space="preserve">  根据综合评分，前1</w:t>
      </w:r>
      <w:r>
        <w:rPr>
          <w:rFonts w:ascii="仿宋_GB2312" w:hAnsi="FangSong" w:eastAsia="仿宋_GB2312"/>
          <w:b w:val="0"/>
          <w:color w:val="000000"/>
          <w:kern w:val="0"/>
          <w:szCs w:val="28"/>
        </w:rPr>
        <w:t>5</w:t>
      </w:r>
      <w:r>
        <w:rPr>
          <w:rFonts w:hint="eastAsia" w:ascii="仿宋_GB2312" w:hAnsi="FangSong" w:eastAsia="仿宋_GB2312"/>
          <w:b w:val="0"/>
          <w:color w:val="000000"/>
          <w:kern w:val="0"/>
          <w:szCs w:val="28"/>
        </w:rPr>
        <w:t>名，评为优秀社团。</w:t>
      </w:r>
    </w:p>
    <w:p w14:paraId="6693AD44">
      <w:pPr>
        <w:widowControl/>
        <w:spacing w:line="460" w:lineRule="exact"/>
        <w:ind w:firstLine="640" w:firstLineChars="200"/>
        <w:contextualSpacing/>
        <w:jc w:val="both"/>
        <w:rPr>
          <w:rFonts w:ascii="仿宋_GB2312" w:hAnsi="FangSong" w:eastAsia="仿宋_GB2312"/>
          <w:b w:val="0"/>
          <w:color w:val="000000"/>
          <w:kern w:val="0"/>
          <w:szCs w:val="28"/>
        </w:rPr>
      </w:pPr>
      <w:r>
        <w:rPr>
          <w:rFonts w:hint="eastAsia" w:ascii="黑体" w:hAnsi="黑体" w:eastAsia="黑体"/>
          <w:b w:val="0"/>
          <w:color w:val="000000"/>
          <w:kern w:val="0"/>
          <w:sz w:val="32"/>
          <w:szCs w:val="28"/>
        </w:rPr>
        <w:t>第九条</w:t>
      </w:r>
      <w:r>
        <w:rPr>
          <w:rFonts w:hint="eastAsia" w:ascii="仿宋_GB2312" w:hAnsi="FangSong" w:eastAsia="仿宋_GB2312"/>
          <w:b w:val="0"/>
          <w:color w:val="000000"/>
          <w:kern w:val="0"/>
          <w:szCs w:val="28"/>
        </w:rPr>
        <w:t xml:space="preserve">  公示期满后，校团委将对获奖社团颁发相关荣誉证书。</w:t>
      </w:r>
    </w:p>
    <w:p w14:paraId="4A6AF214">
      <w:pPr>
        <w:pStyle w:val="3"/>
        <w:spacing w:before="95" w:beforeLines="25" w:after="95" w:afterLines="25" w:line="460" w:lineRule="exact"/>
        <w:ind w:firstLine="0" w:firstLineChars="0"/>
        <w:contextualSpacing/>
        <w:rPr>
          <w:rFonts w:ascii="黑体" w:hAnsi="黑体" w:eastAsia="黑体"/>
          <w:color w:val="000000"/>
          <w:kern w:val="0"/>
          <w:sz w:val="32"/>
          <w:szCs w:val="30"/>
        </w:rPr>
      </w:pPr>
      <w:r>
        <w:rPr>
          <w:rFonts w:hint="eastAsia" w:ascii="黑体" w:hAnsi="黑体" w:eastAsia="黑体"/>
          <w:color w:val="000000"/>
          <w:kern w:val="0"/>
          <w:sz w:val="32"/>
          <w:szCs w:val="30"/>
        </w:rPr>
        <w:t>第六章  附则</w:t>
      </w:r>
    </w:p>
    <w:p w14:paraId="03D5C415">
      <w:pPr>
        <w:widowControl/>
        <w:spacing w:line="460" w:lineRule="exact"/>
        <w:ind w:firstLine="640" w:firstLineChars="200"/>
        <w:contextualSpacing/>
        <w:jc w:val="both"/>
        <w:rPr>
          <w:rFonts w:ascii="仿宋_GB2312" w:hAnsi="FangSong" w:eastAsia="仿宋_GB2312"/>
          <w:b w:val="0"/>
          <w:color w:val="000000"/>
          <w:kern w:val="0"/>
          <w:szCs w:val="28"/>
        </w:rPr>
      </w:pPr>
      <w:r>
        <w:rPr>
          <w:rFonts w:hint="eastAsia" w:ascii="黑体" w:hAnsi="黑体" w:eastAsia="黑体"/>
          <w:b w:val="0"/>
          <w:color w:val="000000"/>
          <w:kern w:val="0"/>
          <w:sz w:val="32"/>
          <w:szCs w:val="28"/>
        </w:rPr>
        <w:t>第十条</w:t>
      </w:r>
      <w:r>
        <w:rPr>
          <w:rFonts w:hint="eastAsia" w:ascii="仿宋_GB2312" w:hAnsi="FangSong" w:eastAsia="仿宋_GB2312"/>
          <w:b w:val="0"/>
          <w:color w:val="000000"/>
          <w:kern w:val="0"/>
          <w:szCs w:val="28"/>
        </w:rPr>
        <w:t xml:space="preserve">  以上办法的最终解释权归共青团中南财经政法大学委员会所有。</w:t>
      </w:r>
    </w:p>
    <w:p w14:paraId="3AD012CD">
      <w:pPr>
        <w:widowControl/>
        <w:spacing w:line="460" w:lineRule="exact"/>
        <w:contextualSpacing/>
        <w:jc w:val="right"/>
        <w:rPr>
          <w:rFonts w:ascii="仿宋_GB2312" w:hAnsi="FangSong" w:eastAsia="仿宋_GB2312"/>
          <w:b w:val="0"/>
          <w:color w:val="000000"/>
          <w:kern w:val="0"/>
          <w:szCs w:val="28"/>
        </w:rPr>
      </w:pPr>
    </w:p>
    <w:p w14:paraId="5B6E0CA6">
      <w:pPr>
        <w:widowControl/>
        <w:spacing w:line="460" w:lineRule="exact"/>
        <w:contextualSpacing/>
        <w:jc w:val="right"/>
        <w:rPr>
          <w:rFonts w:ascii="仿宋_GB2312" w:hAnsi="FangSong" w:eastAsia="仿宋_GB2312"/>
          <w:b w:val="0"/>
          <w:kern w:val="0"/>
          <w:szCs w:val="28"/>
        </w:rPr>
      </w:pPr>
      <w:r>
        <w:rPr>
          <w:rFonts w:hint="eastAsia" w:ascii="仿宋_GB2312" w:hAnsi="FangSong" w:eastAsia="仿宋_GB2312"/>
          <w:b w:val="0"/>
          <w:kern w:val="0"/>
          <w:szCs w:val="28"/>
        </w:rPr>
        <w:t>共青团中南财经政法大学委员会</w:t>
      </w:r>
    </w:p>
    <w:p w14:paraId="27E835C4">
      <w:pPr>
        <w:widowControl/>
        <w:wordWrap w:val="0"/>
        <w:spacing w:line="460" w:lineRule="exact"/>
        <w:ind w:left="-1198" w:leftChars="-428" w:firstLine="627" w:firstLineChars="224"/>
        <w:contextualSpacing/>
        <w:jc w:val="right"/>
        <w:rPr>
          <w:rFonts w:ascii="仿宋_GB2312" w:hAnsi="FangSong" w:eastAsia="仿宋_GB2312"/>
          <w:b w:val="0"/>
          <w:kern w:val="0"/>
          <w:szCs w:val="28"/>
        </w:rPr>
      </w:pPr>
      <w:r>
        <w:rPr>
          <w:rFonts w:hint="eastAsia" w:ascii="仿宋_GB2312" w:eastAsia="仿宋_GB2312"/>
          <w:b w:val="0"/>
          <w:bCs/>
          <w:szCs w:val="28"/>
        </w:rPr>
        <w:t>2025</w:t>
      </w:r>
      <w:r>
        <w:rPr>
          <w:rFonts w:hint="eastAsia" w:ascii="仿宋_GB2312" w:hAnsi="FangSong" w:eastAsia="仿宋_GB2312"/>
          <w:b w:val="0"/>
          <w:kern w:val="0"/>
          <w:szCs w:val="28"/>
        </w:rPr>
        <w:t>年3月</w:t>
      </w:r>
      <w:r>
        <w:rPr>
          <w:rFonts w:ascii="仿宋_GB2312" w:hAnsi="FangSong" w:eastAsia="仿宋_GB2312"/>
          <w:b w:val="0"/>
          <w:kern w:val="0"/>
          <w:szCs w:val="28"/>
        </w:rPr>
        <w:t>1</w:t>
      </w:r>
      <w:r>
        <w:rPr>
          <w:rFonts w:hint="eastAsia" w:ascii="仿宋_GB2312" w:hAnsi="FangSong" w:eastAsia="仿宋_GB2312"/>
          <w:b w:val="0"/>
          <w:kern w:val="0"/>
          <w:szCs w:val="28"/>
        </w:rPr>
        <w:t>7日</w:t>
      </w:r>
      <w:r>
        <w:rPr>
          <w:rFonts w:ascii="仿宋_GB2312" w:hAnsi="FangSong" w:eastAsia="仿宋_GB2312"/>
          <w:b w:val="0"/>
          <w:kern w:val="0"/>
          <w:szCs w:val="28"/>
        </w:rPr>
        <w:t xml:space="preserve">   </w:t>
      </w:r>
    </w:p>
    <w:p w14:paraId="1263648A">
      <w:pPr>
        <w:widowControl/>
        <w:spacing w:line="460" w:lineRule="exact"/>
        <w:ind w:firstLine="562" w:firstLineChars="200"/>
        <w:contextualSpacing/>
        <w:jc w:val="both"/>
        <w:rPr>
          <w:rFonts w:ascii="仿宋_GB2312" w:hAnsi="FangSong" w:eastAsia="仿宋_GB2312"/>
          <w:b w:val="0"/>
          <w:kern w:val="0"/>
          <w:szCs w:val="28"/>
        </w:rPr>
      </w:pPr>
      <w:r>
        <w:rPr>
          <w:rFonts w:hint="eastAsia" w:ascii="仿宋_GB2312" w:hAnsi="FangSong" w:eastAsia="仿宋_GB2312"/>
          <w:kern w:val="0"/>
          <w:szCs w:val="28"/>
        </w:rPr>
        <w:t>附：</w:t>
      </w:r>
      <w:r>
        <w:rPr>
          <w:rFonts w:hint="eastAsia" w:ascii="仿宋_GB2312" w:hAnsi="FangSong" w:eastAsia="仿宋_GB2312"/>
          <w:b w:val="0"/>
          <w:kern w:val="0"/>
          <w:szCs w:val="28"/>
        </w:rPr>
        <w:t>申报材料格式要求</w:t>
      </w:r>
    </w:p>
    <w:p w14:paraId="0A14CECA">
      <w:pPr>
        <w:pStyle w:val="4"/>
        <w:spacing w:line="460" w:lineRule="exact"/>
        <w:ind w:firstLine="602"/>
        <w:rPr>
          <w:rFonts w:ascii="仿宋_GB2312" w:hAnsi="FangSong" w:eastAsia="仿宋_GB2312" w:cs="宋体"/>
          <w:kern w:val="0"/>
          <w:sz w:val="28"/>
          <w:szCs w:val="28"/>
        </w:rPr>
      </w:pPr>
      <w:r>
        <w:rPr>
          <w:rFonts w:hint="eastAsia" w:ascii="仿宋_GB2312" w:hAnsi="FangSong" w:eastAsia="仿宋_GB2312" w:cs="宋体"/>
          <w:kern w:val="0"/>
          <w:sz w:val="28"/>
          <w:szCs w:val="28"/>
        </w:rPr>
        <w:t>正文：仿宋GB-2312（可用仿宋）、小三、首行缩进2字符、行距固定值23磅</w:t>
      </w:r>
    </w:p>
    <w:p w14:paraId="5B4DC7E4">
      <w:pPr>
        <w:pStyle w:val="4"/>
        <w:spacing w:line="460" w:lineRule="exact"/>
        <w:ind w:firstLine="562"/>
        <w:rPr>
          <w:rFonts w:ascii="仿宋_GB2312" w:hAnsi="FangSong" w:eastAsia="仿宋_GB2312" w:cs="宋体"/>
          <w:kern w:val="0"/>
          <w:sz w:val="28"/>
          <w:szCs w:val="28"/>
        </w:rPr>
      </w:pPr>
      <w:r>
        <w:rPr>
          <w:rFonts w:hint="eastAsia" w:ascii="仿宋_GB2312" w:hAnsi="FangSong" w:eastAsia="仿宋_GB2312" w:cs="宋体"/>
          <w:kern w:val="0"/>
          <w:sz w:val="28"/>
          <w:szCs w:val="28"/>
        </w:rPr>
        <w:t>一级标题：“一、”、黑体、三号、首行缩进2字符</w:t>
      </w:r>
    </w:p>
    <w:p w14:paraId="51FA4B9F">
      <w:pPr>
        <w:pStyle w:val="4"/>
        <w:spacing w:line="460" w:lineRule="exact"/>
        <w:ind w:firstLine="562"/>
        <w:rPr>
          <w:rFonts w:ascii="仿宋_GB2312" w:hAnsi="FangSong" w:eastAsia="仿宋_GB2312" w:cs="宋体"/>
          <w:kern w:val="0"/>
          <w:sz w:val="28"/>
          <w:szCs w:val="28"/>
        </w:rPr>
      </w:pPr>
      <w:r>
        <w:rPr>
          <w:rFonts w:hint="eastAsia" w:ascii="仿宋_GB2312" w:hAnsi="FangSong" w:eastAsia="仿宋_GB2312" w:cs="宋体"/>
          <w:kern w:val="0"/>
          <w:sz w:val="28"/>
          <w:szCs w:val="28"/>
        </w:rPr>
        <w:t>二级标题：“（一）”、楷体GB-2312（可用楷体）、小三、加粗、</w:t>
      </w:r>
      <w:r>
        <w:rPr>
          <w:rFonts w:ascii="仿宋_GB2312" w:hAnsi="FangSong" w:eastAsia="仿宋_GB2312" w:cs="宋体"/>
          <w:kern w:val="0"/>
          <w:sz w:val="28"/>
          <w:szCs w:val="28"/>
        </w:rPr>
        <w:t>段前段后</w:t>
      </w:r>
      <w:r>
        <w:rPr>
          <w:rFonts w:hint="eastAsia" w:ascii="仿宋_GB2312" w:hAnsi="FangSong" w:eastAsia="仿宋_GB2312" w:cs="宋体"/>
          <w:kern w:val="0"/>
          <w:sz w:val="28"/>
          <w:szCs w:val="28"/>
        </w:rPr>
        <w:t>0.5行</w:t>
      </w:r>
    </w:p>
    <w:p w14:paraId="0A33EBC8">
      <w:pPr>
        <w:pStyle w:val="3"/>
        <w:spacing w:line="460" w:lineRule="exact"/>
        <w:ind w:firstLine="0" w:firstLineChars="0"/>
        <w:contextualSpacing/>
        <w:rPr>
          <w:rFonts w:ascii="仿宋_GB2312" w:hAnsi="FangSong" w:eastAsia="仿宋_GB2312"/>
          <w:b w:val="0"/>
          <w:bCs/>
          <w:kern w:val="0"/>
          <w:sz w:val="30"/>
          <w:szCs w:val="30"/>
        </w:rPr>
      </w:pPr>
      <w:r>
        <w:rPr>
          <w:rFonts w:hint="eastAsia" w:ascii="仿宋_GB2312" w:hAnsi="FangSong" w:eastAsia="仿宋_GB2312"/>
          <w:b w:val="0"/>
          <w:bCs/>
          <w:kern w:val="0"/>
          <w:sz w:val="28"/>
          <w:szCs w:val="28"/>
        </w:rPr>
        <w:t>三级标题：“1.”、仿宋、四号、加粗、段前段后0.5行</w:t>
      </w:r>
    </w:p>
    <w:p w14:paraId="04E9030B">
      <w:pPr>
        <w:rPr>
          <w:rFonts w:ascii="方正小标宋简体" w:hAnsi="FangSong" w:eastAsia="方正小标宋简体"/>
          <w:b w:val="0"/>
          <w:sz w:val="36"/>
        </w:rPr>
      </w:pPr>
      <w:r>
        <w:rPr>
          <w:rFonts w:hint="eastAsia" w:ascii="仿宋_GB2312" w:hAnsi="FangSong" w:eastAsia="仿宋_GB2312"/>
          <w:kern w:val="0"/>
          <w:szCs w:val="28"/>
        </w:rPr>
        <w:br w:type="page"/>
      </w:r>
      <w:r>
        <w:rPr>
          <w:rFonts w:hint="eastAsia" w:ascii="方正小标宋简体" w:hAnsi="FangSong" w:eastAsia="方正小标宋简体"/>
          <w:b w:val="0"/>
          <w:sz w:val="36"/>
        </w:rPr>
        <w:t>“优秀社团”申报表</w:t>
      </w:r>
    </w:p>
    <w:p w14:paraId="7A2676FD">
      <w:pPr>
        <w:rPr>
          <w:rFonts w:ascii="方正小标宋简体" w:hAnsi="FangSong" w:eastAsia="方正小标宋简体"/>
          <w:b w:val="0"/>
          <w:sz w:val="36"/>
        </w:rPr>
      </w:pPr>
      <w:r>
        <w:rPr>
          <w:rFonts w:hint="eastAsia" w:ascii="仿宋_GB2312" w:hAnsi="FangSong" w:eastAsia="仿宋_GB2312"/>
          <w:b w:val="0"/>
          <w:color w:val="000000"/>
          <w:kern w:val="0"/>
          <w:szCs w:val="28"/>
        </w:rPr>
        <w:t>注：以下申报活动材料开展时间应为2024.4-2025.4</w:t>
      </w:r>
    </w:p>
    <w:tbl>
      <w:tblPr>
        <w:tblStyle w:val="7"/>
        <w:tblW w:w="8295" w:type="dxa"/>
        <w:tblInd w:w="93" w:type="dxa"/>
        <w:tblLayout w:type="fixed"/>
        <w:tblCellMar>
          <w:top w:w="0" w:type="dxa"/>
          <w:left w:w="108" w:type="dxa"/>
          <w:bottom w:w="0" w:type="dxa"/>
          <w:right w:w="108" w:type="dxa"/>
        </w:tblCellMar>
      </w:tblPr>
      <w:tblGrid>
        <w:gridCol w:w="1275"/>
        <w:gridCol w:w="2645"/>
        <w:gridCol w:w="1495"/>
        <w:gridCol w:w="2880"/>
      </w:tblGrid>
      <w:tr w14:paraId="76D5FE16">
        <w:trPr>
          <w:trHeight w:val="420" w:hRule="atLeast"/>
        </w:trPr>
        <w:tc>
          <w:tcPr>
            <w:tcW w:w="1275" w:type="dxa"/>
            <w:tcBorders>
              <w:top w:val="single" w:color="auto" w:sz="4" w:space="0"/>
              <w:left w:val="single" w:color="auto" w:sz="4" w:space="0"/>
              <w:bottom w:val="single" w:color="auto" w:sz="4" w:space="0"/>
              <w:right w:val="single" w:color="auto" w:sz="4" w:space="0"/>
            </w:tcBorders>
            <w:vAlign w:val="center"/>
          </w:tcPr>
          <w:p w14:paraId="30AFB861">
            <w:pPr>
              <w:widowControl/>
              <w:jc w:val="left"/>
              <w:rPr>
                <w:rFonts w:ascii="FangSong" w:hAnsi="FangSong" w:eastAsia="FangSong"/>
                <w:b w:val="0"/>
                <w:bCs/>
                <w:kern w:val="0"/>
                <w:sz w:val="24"/>
              </w:rPr>
            </w:pPr>
            <w:r>
              <w:rPr>
                <w:rFonts w:hint="eastAsia" w:ascii="FangSong" w:hAnsi="FangSong" w:eastAsia="FangSong"/>
                <w:b w:val="0"/>
                <w:bCs/>
                <w:kern w:val="0"/>
                <w:sz w:val="24"/>
              </w:rPr>
              <w:t>社团名称</w:t>
            </w:r>
          </w:p>
        </w:tc>
        <w:tc>
          <w:tcPr>
            <w:tcW w:w="2645" w:type="dxa"/>
            <w:tcBorders>
              <w:top w:val="single" w:color="auto" w:sz="4" w:space="0"/>
              <w:left w:val="nil"/>
              <w:bottom w:val="single" w:color="auto" w:sz="4" w:space="0"/>
              <w:right w:val="single" w:color="auto" w:sz="4" w:space="0"/>
            </w:tcBorders>
            <w:vAlign w:val="center"/>
          </w:tcPr>
          <w:p w14:paraId="60412D70">
            <w:pPr>
              <w:widowControl/>
              <w:jc w:val="left"/>
              <w:rPr>
                <w:rFonts w:ascii="FangSong" w:hAnsi="FangSong" w:eastAsia="FangSong"/>
                <w:b w:val="0"/>
                <w:bCs/>
                <w:kern w:val="0"/>
                <w:sz w:val="24"/>
              </w:rPr>
            </w:pPr>
          </w:p>
        </w:tc>
        <w:tc>
          <w:tcPr>
            <w:tcW w:w="1495" w:type="dxa"/>
            <w:tcBorders>
              <w:top w:val="single" w:color="auto" w:sz="4" w:space="0"/>
              <w:left w:val="nil"/>
              <w:bottom w:val="single" w:color="auto" w:sz="4" w:space="0"/>
              <w:right w:val="single" w:color="auto" w:sz="4" w:space="0"/>
            </w:tcBorders>
            <w:vAlign w:val="center"/>
          </w:tcPr>
          <w:p w14:paraId="3F79177A">
            <w:pPr>
              <w:widowControl/>
              <w:jc w:val="left"/>
              <w:rPr>
                <w:rFonts w:ascii="FangSong" w:hAnsi="FangSong" w:eastAsia="FangSong"/>
                <w:b w:val="0"/>
                <w:bCs/>
                <w:kern w:val="0"/>
                <w:sz w:val="24"/>
              </w:rPr>
            </w:pPr>
            <w:r>
              <w:rPr>
                <w:rFonts w:hint="eastAsia" w:ascii="FangSong" w:hAnsi="FangSong" w:eastAsia="FangSong"/>
                <w:b w:val="0"/>
                <w:bCs/>
                <w:kern w:val="0"/>
                <w:sz w:val="24"/>
              </w:rPr>
              <w:t>成立时间</w:t>
            </w:r>
          </w:p>
        </w:tc>
        <w:tc>
          <w:tcPr>
            <w:tcW w:w="2880" w:type="dxa"/>
            <w:tcBorders>
              <w:top w:val="single" w:color="auto" w:sz="4" w:space="0"/>
              <w:left w:val="nil"/>
              <w:bottom w:val="single" w:color="auto" w:sz="4" w:space="0"/>
              <w:right w:val="single" w:color="auto" w:sz="4" w:space="0"/>
            </w:tcBorders>
            <w:vAlign w:val="center"/>
          </w:tcPr>
          <w:p w14:paraId="23866B7A">
            <w:pPr>
              <w:widowControl/>
              <w:jc w:val="left"/>
              <w:rPr>
                <w:rFonts w:ascii="FangSong" w:hAnsi="FangSong" w:eastAsia="FangSong"/>
                <w:b w:val="0"/>
                <w:bCs/>
                <w:kern w:val="0"/>
                <w:sz w:val="24"/>
              </w:rPr>
            </w:pPr>
          </w:p>
        </w:tc>
      </w:tr>
      <w:tr w14:paraId="281EBD01">
        <w:trPr>
          <w:trHeight w:val="420" w:hRule="atLeast"/>
        </w:trPr>
        <w:tc>
          <w:tcPr>
            <w:tcW w:w="1275" w:type="dxa"/>
            <w:tcBorders>
              <w:top w:val="nil"/>
              <w:left w:val="single" w:color="auto" w:sz="4" w:space="0"/>
              <w:bottom w:val="single" w:color="auto" w:sz="4" w:space="0"/>
              <w:right w:val="single" w:color="auto" w:sz="4" w:space="0"/>
            </w:tcBorders>
            <w:vAlign w:val="center"/>
          </w:tcPr>
          <w:p w14:paraId="0A8178DF">
            <w:pPr>
              <w:widowControl/>
              <w:jc w:val="left"/>
              <w:rPr>
                <w:rFonts w:ascii="FangSong" w:hAnsi="FangSong" w:eastAsia="FangSong"/>
                <w:b w:val="0"/>
                <w:bCs/>
                <w:kern w:val="0"/>
                <w:sz w:val="24"/>
              </w:rPr>
            </w:pPr>
            <w:r>
              <w:rPr>
                <w:rFonts w:hint="eastAsia" w:ascii="FangSong" w:hAnsi="FangSong" w:eastAsia="FangSong"/>
                <w:b w:val="0"/>
                <w:bCs/>
                <w:kern w:val="0"/>
                <w:sz w:val="24"/>
              </w:rPr>
              <w:t>社团类别</w:t>
            </w:r>
          </w:p>
        </w:tc>
        <w:tc>
          <w:tcPr>
            <w:tcW w:w="2645" w:type="dxa"/>
            <w:tcBorders>
              <w:top w:val="nil"/>
              <w:left w:val="nil"/>
              <w:bottom w:val="single" w:color="auto" w:sz="4" w:space="0"/>
              <w:right w:val="single" w:color="auto" w:sz="4" w:space="0"/>
            </w:tcBorders>
            <w:vAlign w:val="center"/>
          </w:tcPr>
          <w:p w14:paraId="2406C5A0">
            <w:pPr>
              <w:widowControl/>
              <w:jc w:val="left"/>
              <w:rPr>
                <w:rFonts w:ascii="FangSong" w:hAnsi="FangSong" w:eastAsia="FangSong"/>
                <w:b w:val="0"/>
                <w:bCs/>
                <w:kern w:val="0"/>
                <w:sz w:val="24"/>
              </w:rPr>
            </w:pPr>
          </w:p>
        </w:tc>
        <w:tc>
          <w:tcPr>
            <w:tcW w:w="1495" w:type="dxa"/>
            <w:tcBorders>
              <w:top w:val="nil"/>
              <w:left w:val="nil"/>
              <w:bottom w:val="single" w:color="auto" w:sz="4" w:space="0"/>
              <w:right w:val="single" w:color="auto" w:sz="4" w:space="0"/>
            </w:tcBorders>
            <w:vAlign w:val="center"/>
          </w:tcPr>
          <w:p w14:paraId="32D850F6">
            <w:pPr>
              <w:widowControl/>
              <w:jc w:val="left"/>
              <w:rPr>
                <w:rFonts w:ascii="FangSong" w:hAnsi="FangSong" w:eastAsia="FangSong"/>
                <w:b w:val="0"/>
                <w:bCs/>
                <w:kern w:val="0"/>
                <w:sz w:val="24"/>
              </w:rPr>
            </w:pPr>
            <w:r>
              <w:rPr>
                <w:rFonts w:hint="eastAsia" w:ascii="FangSong" w:hAnsi="FangSong" w:eastAsia="FangSong"/>
                <w:b w:val="0"/>
                <w:bCs/>
                <w:kern w:val="0"/>
                <w:sz w:val="24"/>
              </w:rPr>
              <w:t>社团人数</w:t>
            </w:r>
          </w:p>
        </w:tc>
        <w:tc>
          <w:tcPr>
            <w:tcW w:w="2880" w:type="dxa"/>
            <w:tcBorders>
              <w:top w:val="nil"/>
              <w:left w:val="nil"/>
              <w:bottom w:val="single" w:color="auto" w:sz="4" w:space="0"/>
              <w:right w:val="single" w:color="auto" w:sz="4" w:space="0"/>
            </w:tcBorders>
            <w:vAlign w:val="center"/>
          </w:tcPr>
          <w:p w14:paraId="2FA6ABEF">
            <w:pPr>
              <w:widowControl/>
              <w:jc w:val="left"/>
              <w:rPr>
                <w:rFonts w:ascii="FangSong" w:hAnsi="FangSong" w:eastAsia="FangSong"/>
                <w:b w:val="0"/>
                <w:bCs/>
                <w:kern w:val="0"/>
                <w:sz w:val="24"/>
              </w:rPr>
            </w:pPr>
          </w:p>
        </w:tc>
      </w:tr>
      <w:tr w14:paraId="0DFF5434">
        <w:trPr>
          <w:trHeight w:val="420" w:hRule="atLeast"/>
        </w:trPr>
        <w:tc>
          <w:tcPr>
            <w:tcW w:w="1275" w:type="dxa"/>
            <w:tcBorders>
              <w:top w:val="nil"/>
              <w:left w:val="single" w:color="auto" w:sz="4" w:space="0"/>
              <w:bottom w:val="single" w:color="auto" w:sz="4" w:space="0"/>
              <w:right w:val="single" w:color="auto" w:sz="4" w:space="0"/>
            </w:tcBorders>
            <w:vAlign w:val="center"/>
          </w:tcPr>
          <w:p w14:paraId="3E458649">
            <w:pPr>
              <w:widowControl/>
              <w:jc w:val="left"/>
              <w:rPr>
                <w:rFonts w:ascii="FangSong" w:hAnsi="FangSong" w:eastAsia="FangSong"/>
                <w:b w:val="0"/>
                <w:bCs/>
                <w:kern w:val="0"/>
                <w:sz w:val="24"/>
              </w:rPr>
            </w:pPr>
            <w:r>
              <w:rPr>
                <w:rFonts w:hint="eastAsia" w:ascii="FangSong" w:hAnsi="FangSong" w:eastAsia="FangSong"/>
                <w:b w:val="0"/>
                <w:bCs/>
                <w:kern w:val="0"/>
                <w:sz w:val="24"/>
              </w:rPr>
              <w:t>负责人</w:t>
            </w:r>
          </w:p>
        </w:tc>
        <w:tc>
          <w:tcPr>
            <w:tcW w:w="2645" w:type="dxa"/>
            <w:tcBorders>
              <w:top w:val="nil"/>
              <w:left w:val="nil"/>
              <w:bottom w:val="single" w:color="auto" w:sz="4" w:space="0"/>
              <w:right w:val="single" w:color="auto" w:sz="4" w:space="0"/>
            </w:tcBorders>
            <w:vAlign w:val="center"/>
          </w:tcPr>
          <w:p w14:paraId="0C3D7DD5">
            <w:pPr>
              <w:widowControl/>
              <w:jc w:val="left"/>
              <w:rPr>
                <w:rFonts w:ascii="FangSong" w:hAnsi="FangSong" w:eastAsia="FangSong"/>
                <w:b w:val="0"/>
                <w:bCs/>
                <w:kern w:val="0"/>
                <w:sz w:val="24"/>
              </w:rPr>
            </w:pPr>
          </w:p>
        </w:tc>
        <w:tc>
          <w:tcPr>
            <w:tcW w:w="1495" w:type="dxa"/>
            <w:tcBorders>
              <w:top w:val="nil"/>
              <w:left w:val="nil"/>
              <w:bottom w:val="single" w:color="auto" w:sz="4" w:space="0"/>
              <w:right w:val="single" w:color="auto" w:sz="4" w:space="0"/>
            </w:tcBorders>
            <w:vAlign w:val="center"/>
          </w:tcPr>
          <w:p w14:paraId="2E1109A8">
            <w:pPr>
              <w:widowControl/>
              <w:jc w:val="left"/>
              <w:rPr>
                <w:rFonts w:ascii="FangSong" w:hAnsi="FangSong" w:eastAsia="FangSong"/>
                <w:b w:val="0"/>
                <w:bCs/>
                <w:kern w:val="0"/>
                <w:sz w:val="24"/>
              </w:rPr>
            </w:pPr>
            <w:r>
              <w:rPr>
                <w:rFonts w:hint="eastAsia" w:ascii="FangSong" w:hAnsi="FangSong" w:eastAsia="FangSong"/>
                <w:b w:val="0"/>
                <w:bCs/>
                <w:kern w:val="0"/>
                <w:sz w:val="24"/>
              </w:rPr>
              <w:t>联系方式</w:t>
            </w:r>
          </w:p>
        </w:tc>
        <w:tc>
          <w:tcPr>
            <w:tcW w:w="2880" w:type="dxa"/>
            <w:tcBorders>
              <w:top w:val="nil"/>
              <w:left w:val="nil"/>
              <w:bottom w:val="single" w:color="auto" w:sz="4" w:space="0"/>
              <w:right w:val="single" w:color="auto" w:sz="4" w:space="0"/>
            </w:tcBorders>
            <w:vAlign w:val="center"/>
          </w:tcPr>
          <w:p w14:paraId="5EAC2B20">
            <w:pPr>
              <w:widowControl/>
              <w:jc w:val="left"/>
              <w:rPr>
                <w:rFonts w:ascii="FangSong" w:hAnsi="FangSong" w:eastAsia="FangSong"/>
                <w:b w:val="0"/>
                <w:bCs/>
                <w:kern w:val="0"/>
                <w:sz w:val="24"/>
              </w:rPr>
            </w:pPr>
          </w:p>
        </w:tc>
      </w:tr>
      <w:tr w14:paraId="6CBA9D86">
        <w:trPr>
          <w:trHeight w:val="420" w:hRule="atLeast"/>
        </w:trPr>
        <w:tc>
          <w:tcPr>
            <w:tcW w:w="1275" w:type="dxa"/>
            <w:tcBorders>
              <w:top w:val="nil"/>
              <w:left w:val="single" w:color="auto" w:sz="4" w:space="0"/>
              <w:bottom w:val="single" w:color="auto" w:sz="4" w:space="0"/>
              <w:right w:val="single" w:color="auto" w:sz="4" w:space="0"/>
            </w:tcBorders>
            <w:vAlign w:val="center"/>
          </w:tcPr>
          <w:p w14:paraId="174DFFBF">
            <w:pPr>
              <w:widowControl/>
              <w:jc w:val="left"/>
              <w:rPr>
                <w:rFonts w:ascii="FangSong" w:hAnsi="FangSong" w:eastAsia="FangSong"/>
                <w:b w:val="0"/>
                <w:bCs/>
                <w:kern w:val="0"/>
                <w:sz w:val="24"/>
              </w:rPr>
            </w:pPr>
            <w:r>
              <w:rPr>
                <w:rFonts w:hint="eastAsia" w:ascii="FangSong" w:hAnsi="FangSong" w:eastAsia="FangSong"/>
                <w:b w:val="0"/>
                <w:bCs/>
                <w:kern w:val="0"/>
                <w:sz w:val="24"/>
              </w:rPr>
              <w:t>指导教师</w:t>
            </w:r>
          </w:p>
        </w:tc>
        <w:tc>
          <w:tcPr>
            <w:tcW w:w="2645" w:type="dxa"/>
            <w:tcBorders>
              <w:top w:val="nil"/>
              <w:left w:val="nil"/>
              <w:bottom w:val="single" w:color="auto" w:sz="4" w:space="0"/>
              <w:right w:val="single" w:color="auto" w:sz="4" w:space="0"/>
            </w:tcBorders>
            <w:vAlign w:val="center"/>
          </w:tcPr>
          <w:p w14:paraId="26590659">
            <w:pPr>
              <w:widowControl/>
              <w:jc w:val="left"/>
              <w:rPr>
                <w:rFonts w:ascii="FangSong" w:hAnsi="FangSong" w:eastAsia="FangSong"/>
                <w:b w:val="0"/>
                <w:bCs/>
                <w:kern w:val="0"/>
                <w:sz w:val="24"/>
              </w:rPr>
            </w:pPr>
          </w:p>
        </w:tc>
        <w:tc>
          <w:tcPr>
            <w:tcW w:w="1495" w:type="dxa"/>
            <w:tcBorders>
              <w:top w:val="nil"/>
              <w:left w:val="nil"/>
              <w:bottom w:val="single" w:color="auto" w:sz="4" w:space="0"/>
              <w:right w:val="single" w:color="auto" w:sz="4" w:space="0"/>
            </w:tcBorders>
            <w:vAlign w:val="center"/>
          </w:tcPr>
          <w:p w14:paraId="40555481">
            <w:pPr>
              <w:widowControl/>
              <w:jc w:val="left"/>
              <w:rPr>
                <w:rFonts w:ascii="FangSong" w:hAnsi="FangSong" w:eastAsia="FangSong"/>
                <w:b w:val="0"/>
                <w:bCs/>
                <w:kern w:val="0"/>
                <w:sz w:val="24"/>
              </w:rPr>
            </w:pPr>
            <w:r>
              <w:rPr>
                <w:rFonts w:hint="eastAsia" w:ascii="FangSong" w:hAnsi="FangSong" w:eastAsia="FangSong"/>
                <w:b w:val="0"/>
                <w:bCs/>
                <w:kern w:val="0"/>
                <w:sz w:val="24"/>
              </w:rPr>
              <w:t>挂靠单位</w:t>
            </w:r>
          </w:p>
        </w:tc>
        <w:tc>
          <w:tcPr>
            <w:tcW w:w="2880" w:type="dxa"/>
            <w:tcBorders>
              <w:top w:val="nil"/>
              <w:left w:val="nil"/>
              <w:bottom w:val="single" w:color="auto" w:sz="4" w:space="0"/>
              <w:right w:val="single" w:color="auto" w:sz="4" w:space="0"/>
            </w:tcBorders>
            <w:vAlign w:val="center"/>
          </w:tcPr>
          <w:p w14:paraId="2497C057">
            <w:pPr>
              <w:widowControl/>
              <w:jc w:val="left"/>
              <w:rPr>
                <w:rFonts w:ascii="FangSong" w:hAnsi="FangSong" w:eastAsia="FangSong"/>
                <w:b w:val="0"/>
                <w:bCs/>
                <w:kern w:val="0"/>
                <w:sz w:val="24"/>
              </w:rPr>
            </w:pPr>
          </w:p>
        </w:tc>
      </w:tr>
      <w:tr w14:paraId="773FA9BC">
        <w:trPr>
          <w:trHeight w:val="397" w:hRule="atLeast"/>
        </w:trPr>
        <w:tc>
          <w:tcPr>
            <w:tcW w:w="8295" w:type="dxa"/>
            <w:gridSpan w:val="4"/>
            <w:vMerge w:val="restart"/>
            <w:tcBorders>
              <w:top w:val="single" w:color="auto" w:sz="4" w:space="0"/>
              <w:left w:val="single" w:color="auto" w:sz="4" w:space="0"/>
              <w:bottom w:val="single" w:color="auto" w:sz="4" w:space="0"/>
              <w:right w:val="single" w:color="auto" w:sz="4" w:space="0"/>
            </w:tcBorders>
          </w:tcPr>
          <w:p w14:paraId="4E3A084D">
            <w:pPr>
              <w:tabs>
                <w:tab w:val="left" w:pos="420"/>
              </w:tabs>
              <w:autoSpaceDE w:val="0"/>
              <w:autoSpaceDN w:val="0"/>
              <w:ind w:left="420" w:hanging="420"/>
              <w:jc w:val="left"/>
              <w:rPr>
                <w:rFonts w:ascii="FangSong" w:hAnsi="FangSong" w:eastAsia="FangSong"/>
                <w:b w:val="0"/>
                <w:bCs/>
                <w:kern w:val="0"/>
                <w:sz w:val="24"/>
              </w:rPr>
            </w:pPr>
            <w:r>
              <w:rPr>
                <w:rFonts w:hint="eastAsia" w:ascii="FangSong" w:hAnsi="FangSong" w:eastAsia="FangSong"/>
                <w:b w:val="0"/>
                <w:bCs/>
                <w:kern w:val="0"/>
                <w:sz w:val="24"/>
              </w:rPr>
              <w:t>2024—2025学年度学生社团活动列表：（仅需活动名称）</w:t>
            </w:r>
          </w:p>
          <w:p w14:paraId="235D5E19">
            <w:pPr>
              <w:widowControl/>
              <w:rPr>
                <w:rFonts w:ascii="FangSong" w:hAnsi="FangSong" w:eastAsia="FangSong"/>
                <w:b w:val="0"/>
                <w:bCs/>
                <w:kern w:val="0"/>
                <w:sz w:val="24"/>
              </w:rPr>
            </w:pPr>
            <w:r>
              <w:rPr>
                <w:rFonts w:hint="eastAsia" w:ascii="FangSong" w:hAnsi="FangSong" w:eastAsia="FangSong"/>
                <w:b w:val="0"/>
                <w:bCs/>
                <w:kern w:val="0"/>
                <w:sz w:val="24"/>
              </w:rPr>
              <w:t xml:space="preserve">  </w:t>
            </w:r>
          </w:p>
          <w:p w14:paraId="4FEF9CAE">
            <w:pPr>
              <w:widowControl/>
              <w:rPr>
                <w:rFonts w:ascii="FangSong" w:hAnsi="FangSong" w:eastAsia="FangSong"/>
                <w:b w:val="0"/>
                <w:bCs/>
                <w:kern w:val="0"/>
                <w:sz w:val="24"/>
              </w:rPr>
            </w:pPr>
          </w:p>
          <w:p w14:paraId="3C4D298C">
            <w:pPr>
              <w:widowControl/>
              <w:jc w:val="both"/>
              <w:rPr>
                <w:rFonts w:ascii="FangSong" w:hAnsi="FangSong" w:eastAsia="FangSong"/>
                <w:b w:val="0"/>
                <w:bCs/>
                <w:kern w:val="0"/>
                <w:sz w:val="24"/>
              </w:rPr>
            </w:pPr>
          </w:p>
        </w:tc>
      </w:tr>
      <w:tr w14:paraId="4DED66C8">
        <w:trPr>
          <w:trHeight w:val="624" w:hRule="atLeast"/>
        </w:trPr>
        <w:tc>
          <w:tcPr>
            <w:tcW w:w="8295" w:type="dxa"/>
            <w:gridSpan w:val="4"/>
            <w:vMerge w:val="continue"/>
            <w:tcBorders>
              <w:top w:val="single" w:color="auto" w:sz="4" w:space="0"/>
              <w:left w:val="single" w:color="auto" w:sz="4" w:space="0"/>
              <w:bottom w:val="single" w:color="auto" w:sz="4" w:space="0"/>
              <w:right w:val="single" w:color="auto" w:sz="4" w:space="0"/>
            </w:tcBorders>
          </w:tcPr>
          <w:p w14:paraId="605F953E">
            <w:pPr>
              <w:widowControl/>
              <w:rPr>
                <w:rFonts w:ascii="FangSong" w:hAnsi="FangSong" w:eastAsia="FangSong"/>
                <w:b w:val="0"/>
                <w:bCs/>
                <w:kern w:val="0"/>
                <w:sz w:val="24"/>
              </w:rPr>
            </w:pPr>
          </w:p>
        </w:tc>
      </w:tr>
      <w:tr w14:paraId="009AF8DB">
        <w:trPr>
          <w:cantSplit/>
          <w:trHeight w:val="382" w:hRule="atLeast"/>
        </w:trPr>
        <w:tc>
          <w:tcPr>
            <w:tcW w:w="8295" w:type="dxa"/>
            <w:gridSpan w:val="4"/>
            <w:vMerge w:val="restart"/>
            <w:tcBorders>
              <w:top w:val="single" w:color="auto" w:sz="4" w:space="0"/>
              <w:left w:val="single" w:color="auto" w:sz="4" w:space="0"/>
              <w:bottom w:val="single" w:color="auto" w:sz="4" w:space="0"/>
              <w:right w:val="single" w:color="auto" w:sz="4" w:space="0"/>
            </w:tcBorders>
          </w:tcPr>
          <w:p w14:paraId="278CD8C8">
            <w:pPr>
              <w:tabs>
                <w:tab w:val="left" w:pos="2835"/>
              </w:tabs>
              <w:jc w:val="left"/>
              <w:rPr>
                <w:rFonts w:ascii="FangSong" w:hAnsi="FangSong" w:eastAsia="FangSong"/>
                <w:b w:val="0"/>
                <w:bCs/>
                <w:sz w:val="24"/>
              </w:rPr>
            </w:pPr>
            <w:r>
              <w:rPr>
                <w:rFonts w:hint="eastAsia" w:ascii="FangSong" w:hAnsi="FangSong" w:eastAsia="FangSong"/>
                <w:b w:val="0"/>
                <w:bCs/>
                <w:sz w:val="24"/>
              </w:rPr>
              <w:t>2</w:t>
            </w:r>
            <w:r>
              <w:rPr>
                <w:rFonts w:ascii="FangSong" w:hAnsi="FangSong" w:eastAsia="FangSong"/>
                <w:b w:val="0"/>
                <w:bCs/>
                <w:sz w:val="24"/>
              </w:rPr>
              <w:t>02</w:t>
            </w:r>
            <w:r>
              <w:rPr>
                <w:rFonts w:hint="eastAsia" w:ascii="FangSong" w:hAnsi="FangSong" w:eastAsia="FangSong"/>
                <w:b w:val="0"/>
                <w:bCs/>
                <w:sz w:val="24"/>
              </w:rPr>
              <w:t>4</w:t>
            </w:r>
            <w:r>
              <w:rPr>
                <w:rFonts w:ascii="FangSong" w:hAnsi="FangSong" w:eastAsia="FangSong"/>
                <w:b w:val="0"/>
                <w:bCs/>
                <w:sz w:val="24"/>
              </w:rPr>
              <w:t>-202</w:t>
            </w:r>
            <w:r>
              <w:rPr>
                <w:rFonts w:hint="eastAsia" w:ascii="FangSong" w:hAnsi="FangSong" w:eastAsia="FangSong"/>
                <w:b w:val="0"/>
                <w:bCs/>
                <w:sz w:val="24"/>
              </w:rPr>
              <w:t>5学年度学生社团获奖情况：</w:t>
            </w:r>
          </w:p>
          <w:p w14:paraId="61652721">
            <w:pPr>
              <w:tabs>
                <w:tab w:val="left" w:pos="2835"/>
              </w:tabs>
              <w:rPr>
                <w:rFonts w:ascii="FangSong" w:hAnsi="FangSong" w:eastAsia="FangSong"/>
                <w:b w:val="0"/>
                <w:bCs/>
                <w:sz w:val="24"/>
              </w:rPr>
            </w:pPr>
          </w:p>
        </w:tc>
      </w:tr>
      <w:tr w14:paraId="25540861">
        <w:trPr>
          <w:trHeight w:val="624" w:hRule="atLeast"/>
        </w:trPr>
        <w:tc>
          <w:tcPr>
            <w:tcW w:w="8295" w:type="dxa"/>
            <w:gridSpan w:val="4"/>
            <w:vMerge w:val="continue"/>
            <w:tcBorders>
              <w:top w:val="single" w:color="auto" w:sz="4" w:space="0"/>
              <w:left w:val="single" w:color="auto" w:sz="4" w:space="0"/>
              <w:bottom w:val="single" w:color="auto" w:sz="4" w:space="0"/>
              <w:right w:val="single" w:color="auto" w:sz="4" w:space="0"/>
            </w:tcBorders>
          </w:tcPr>
          <w:p w14:paraId="54499132">
            <w:pPr>
              <w:widowControl/>
              <w:rPr>
                <w:rFonts w:ascii="FangSong" w:hAnsi="FangSong" w:eastAsia="FangSong"/>
                <w:b w:val="0"/>
                <w:bCs/>
                <w:kern w:val="0"/>
                <w:sz w:val="24"/>
              </w:rPr>
            </w:pPr>
          </w:p>
        </w:tc>
      </w:tr>
      <w:tr w14:paraId="5155A0F4">
        <w:trPr>
          <w:trHeight w:val="624" w:hRule="atLeast"/>
        </w:trPr>
        <w:tc>
          <w:tcPr>
            <w:tcW w:w="8295" w:type="dxa"/>
            <w:gridSpan w:val="4"/>
            <w:vMerge w:val="continue"/>
            <w:tcBorders>
              <w:top w:val="single" w:color="auto" w:sz="4" w:space="0"/>
              <w:left w:val="single" w:color="auto" w:sz="4" w:space="0"/>
              <w:bottom w:val="single" w:color="auto" w:sz="4" w:space="0"/>
              <w:right w:val="single" w:color="auto" w:sz="4" w:space="0"/>
            </w:tcBorders>
          </w:tcPr>
          <w:p w14:paraId="23D22EAE">
            <w:pPr>
              <w:widowControl/>
              <w:rPr>
                <w:rFonts w:ascii="FangSong" w:hAnsi="FangSong" w:eastAsia="FangSong"/>
                <w:b w:val="0"/>
                <w:bCs/>
                <w:kern w:val="0"/>
                <w:sz w:val="24"/>
              </w:rPr>
            </w:pPr>
          </w:p>
        </w:tc>
      </w:tr>
      <w:tr w14:paraId="43719624">
        <w:trPr>
          <w:trHeight w:val="382" w:hRule="atLeast"/>
        </w:trPr>
        <w:tc>
          <w:tcPr>
            <w:tcW w:w="8295" w:type="dxa"/>
            <w:gridSpan w:val="4"/>
            <w:vMerge w:val="continue"/>
            <w:tcBorders>
              <w:top w:val="single" w:color="auto" w:sz="4" w:space="0"/>
              <w:left w:val="single" w:color="auto" w:sz="4" w:space="0"/>
              <w:bottom w:val="single" w:color="auto" w:sz="4" w:space="0"/>
              <w:right w:val="single" w:color="auto" w:sz="4" w:space="0"/>
            </w:tcBorders>
          </w:tcPr>
          <w:p w14:paraId="5D0C7F04">
            <w:pPr>
              <w:widowControl/>
              <w:rPr>
                <w:rFonts w:ascii="FangSong" w:hAnsi="FangSong" w:eastAsia="FangSong"/>
                <w:b w:val="0"/>
                <w:bCs/>
                <w:kern w:val="0"/>
                <w:sz w:val="24"/>
              </w:rPr>
            </w:pPr>
          </w:p>
        </w:tc>
      </w:tr>
      <w:tr w14:paraId="72217576">
        <w:trPr>
          <w:trHeight w:val="382" w:hRule="atLeast"/>
        </w:trPr>
        <w:tc>
          <w:tcPr>
            <w:tcW w:w="8295" w:type="dxa"/>
            <w:gridSpan w:val="4"/>
            <w:vMerge w:val="restart"/>
            <w:tcBorders>
              <w:top w:val="single" w:color="auto" w:sz="4" w:space="0"/>
              <w:left w:val="single" w:color="auto" w:sz="4" w:space="0"/>
              <w:bottom w:val="single" w:color="auto" w:sz="4" w:space="0"/>
              <w:right w:val="single" w:color="auto" w:sz="4" w:space="0"/>
            </w:tcBorders>
          </w:tcPr>
          <w:p w14:paraId="7799CD2C">
            <w:pPr>
              <w:widowControl/>
              <w:jc w:val="left"/>
              <w:rPr>
                <w:rFonts w:ascii="FangSong" w:hAnsi="FangSong" w:eastAsia="FangSong"/>
                <w:b w:val="0"/>
                <w:bCs/>
                <w:kern w:val="0"/>
                <w:sz w:val="24"/>
              </w:rPr>
            </w:pPr>
            <w:r>
              <w:rPr>
                <w:rFonts w:hint="eastAsia" w:ascii="FangSong" w:hAnsi="FangSong" w:eastAsia="FangSong"/>
                <w:b w:val="0"/>
                <w:bCs/>
                <w:kern w:val="0"/>
                <w:sz w:val="24"/>
              </w:rPr>
              <w:t>学生社团自我鉴定（不少于2</w:t>
            </w:r>
            <w:r>
              <w:rPr>
                <w:rFonts w:ascii="FangSong" w:hAnsi="FangSong" w:eastAsia="FangSong"/>
                <w:b w:val="0"/>
                <w:bCs/>
                <w:kern w:val="0"/>
                <w:sz w:val="24"/>
              </w:rPr>
              <w:t>00</w:t>
            </w:r>
            <w:r>
              <w:rPr>
                <w:rFonts w:hint="eastAsia" w:ascii="FangSong" w:hAnsi="FangSong" w:eastAsia="FangSong"/>
                <w:b w:val="0"/>
                <w:bCs/>
                <w:kern w:val="0"/>
                <w:sz w:val="24"/>
              </w:rPr>
              <w:t>字）：</w:t>
            </w:r>
          </w:p>
          <w:p w14:paraId="626118FA">
            <w:pPr>
              <w:widowControl/>
              <w:jc w:val="left"/>
              <w:rPr>
                <w:rFonts w:ascii="FangSong" w:hAnsi="FangSong" w:eastAsia="FangSong"/>
                <w:b w:val="0"/>
                <w:bCs/>
                <w:kern w:val="0"/>
                <w:sz w:val="24"/>
              </w:rPr>
            </w:pPr>
          </w:p>
          <w:p w14:paraId="4D29600F">
            <w:pPr>
              <w:rPr>
                <w:rFonts w:ascii="FangSong" w:hAnsi="FangSong" w:eastAsia="FangSong" w:cs="Times New Roman"/>
                <w:b w:val="0"/>
                <w:sz w:val="24"/>
              </w:rPr>
            </w:pPr>
          </w:p>
          <w:p w14:paraId="47571084">
            <w:pPr>
              <w:widowControl/>
              <w:jc w:val="left"/>
              <w:rPr>
                <w:rFonts w:ascii="FangSong" w:hAnsi="FangSong" w:eastAsia="FangSong"/>
                <w:b w:val="0"/>
                <w:bCs/>
                <w:kern w:val="0"/>
                <w:sz w:val="24"/>
              </w:rPr>
            </w:pPr>
          </w:p>
        </w:tc>
      </w:tr>
      <w:tr w14:paraId="1C0908FB">
        <w:trPr>
          <w:trHeight w:val="624" w:hRule="atLeast"/>
        </w:trPr>
        <w:tc>
          <w:tcPr>
            <w:tcW w:w="8295" w:type="dxa"/>
            <w:gridSpan w:val="4"/>
            <w:vMerge w:val="continue"/>
            <w:tcBorders>
              <w:top w:val="single" w:color="auto" w:sz="4" w:space="0"/>
              <w:left w:val="single" w:color="auto" w:sz="4" w:space="0"/>
              <w:bottom w:val="single" w:color="auto" w:sz="4" w:space="0"/>
              <w:right w:val="single" w:color="auto" w:sz="4" w:space="0"/>
            </w:tcBorders>
          </w:tcPr>
          <w:p w14:paraId="08A42416">
            <w:pPr>
              <w:widowControl/>
              <w:rPr>
                <w:rFonts w:ascii="FangSong" w:hAnsi="FangSong" w:eastAsia="FangSong"/>
                <w:b w:val="0"/>
                <w:bCs/>
                <w:kern w:val="0"/>
                <w:sz w:val="24"/>
              </w:rPr>
            </w:pPr>
          </w:p>
        </w:tc>
      </w:tr>
      <w:tr w14:paraId="1C5A8567">
        <w:trPr>
          <w:trHeight w:val="624" w:hRule="atLeast"/>
        </w:trPr>
        <w:tc>
          <w:tcPr>
            <w:tcW w:w="8295" w:type="dxa"/>
            <w:gridSpan w:val="4"/>
            <w:vMerge w:val="continue"/>
            <w:tcBorders>
              <w:top w:val="single" w:color="auto" w:sz="4" w:space="0"/>
              <w:left w:val="single" w:color="auto" w:sz="4" w:space="0"/>
              <w:bottom w:val="single" w:color="auto" w:sz="4" w:space="0"/>
              <w:right w:val="single" w:color="auto" w:sz="4" w:space="0"/>
            </w:tcBorders>
          </w:tcPr>
          <w:p w14:paraId="21AA4660">
            <w:pPr>
              <w:widowControl/>
              <w:rPr>
                <w:rFonts w:ascii="FangSong" w:hAnsi="FangSong" w:eastAsia="FangSong"/>
                <w:b w:val="0"/>
                <w:bCs/>
                <w:kern w:val="0"/>
                <w:sz w:val="24"/>
              </w:rPr>
            </w:pPr>
          </w:p>
        </w:tc>
      </w:tr>
      <w:tr w14:paraId="759CB401">
        <w:trPr>
          <w:trHeight w:val="624" w:hRule="atLeast"/>
        </w:trPr>
        <w:tc>
          <w:tcPr>
            <w:tcW w:w="8295" w:type="dxa"/>
            <w:gridSpan w:val="4"/>
            <w:vMerge w:val="continue"/>
            <w:tcBorders>
              <w:top w:val="single" w:color="auto" w:sz="4" w:space="0"/>
              <w:left w:val="single" w:color="auto" w:sz="4" w:space="0"/>
              <w:bottom w:val="single" w:color="auto" w:sz="4" w:space="0"/>
              <w:right w:val="single" w:color="auto" w:sz="4" w:space="0"/>
            </w:tcBorders>
          </w:tcPr>
          <w:p w14:paraId="57BC808E">
            <w:pPr>
              <w:widowControl/>
              <w:rPr>
                <w:rFonts w:ascii="FangSong" w:hAnsi="FangSong" w:eastAsia="FangSong"/>
                <w:b w:val="0"/>
                <w:bCs/>
                <w:kern w:val="0"/>
                <w:sz w:val="24"/>
              </w:rPr>
            </w:pPr>
          </w:p>
        </w:tc>
      </w:tr>
      <w:tr w14:paraId="36865957">
        <w:trPr>
          <w:trHeight w:val="382" w:hRule="atLeast"/>
        </w:trPr>
        <w:tc>
          <w:tcPr>
            <w:tcW w:w="8295" w:type="dxa"/>
            <w:gridSpan w:val="4"/>
            <w:vMerge w:val="continue"/>
            <w:tcBorders>
              <w:top w:val="single" w:color="auto" w:sz="4" w:space="0"/>
              <w:left w:val="single" w:color="auto" w:sz="4" w:space="0"/>
              <w:bottom w:val="single" w:color="auto" w:sz="4" w:space="0"/>
              <w:right w:val="single" w:color="auto" w:sz="4" w:space="0"/>
            </w:tcBorders>
          </w:tcPr>
          <w:p w14:paraId="17B28433">
            <w:pPr>
              <w:widowControl/>
              <w:rPr>
                <w:rFonts w:ascii="FangSong" w:hAnsi="FangSong" w:eastAsia="FangSong"/>
                <w:b w:val="0"/>
                <w:bCs/>
                <w:kern w:val="0"/>
                <w:sz w:val="24"/>
              </w:rPr>
            </w:pPr>
          </w:p>
        </w:tc>
      </w:tr>
      <w:tr w14:paraId="79A3DFD5">
        <w:trPr>
          <w:trHeight w:val="1517" w:hRule="atLeast"/>
        </w:trPr>
        <w:tc>
          <w:tcPr>
            <w:tcW w:w="8295" w:type="dxa"/>
            <w:gridSpan w:val="4"/>
            <w:tcBorders>
              <w:top w:val="single" w:color="auto" w:sz="4" w:space="0"/>
              <w:left w:val="single" w:color="auto" w:sz="4" w:space="0"/>
              <w:bottom w:val="single" w:color="auto" w:sz="4" w:space="0"/>
              <w:right w:val="single" w:color="auto" w:sz="4" w:space="0"/>
            </w:tcBorders>
          </w:tcPr>
          <w:p w14:paraId="5B1E3D04">
            <w:pPr>
              <w:widowControl/>
              <w:jc w:val="left"/>
              <w:rPr>
                <w:rFonts w:ascii="FangSong" w:hAnsi="FangSong" w:eastAsia="FangSong"/>
                <w:b w:val="0"/>
                <w:bCs/>
                <w:kern w:val="0"/>
                <w:sz w:val="24"/>
              </w:rPr>
            </w:pPr>
            <w:r>
              <w:rPr>
                <w:rFonts w:hint="eastAsia" w:ascii="FangSong" w:hAnsi="FangSong" w:eastAsia="FangSong"/>
                <w:b w:val="0"/>
                <w:bCs/>
                <w:kern w:val="0"/>
                <w:sz w:val="24"/>
              </w:rPr>
              <w:t>指导老师意见（不少于1</w:t>
            </w:r>
            <w:r>
              <w:rPr>
                <w:rFonts w:ascii="FangSong" w:hAnsi="FangSong" w:eastAsia="FangSong"/>
                <w:b w:val="0"/>
                <w:bCs/>
                <w:kern w:val="0"/>
                <w:sz w:val="24"/>
              </w:rPr>
              <w:t>00</w:t>
            </w:r>
            <w:r>
              <w:rPr>
                <w:rFonts w:hint="eastAsia" w:ascii="FangSong" w:hAnsi="FangSong" w:eastAsia="FangSong"/>
                <w:b w:val="0"/>
                <w:bCs/>
                <w:kern w:val="0"/>
                <w:sz w:val="24"/>
              </w:rPr>
              <w:t>字）：</w:t>
            </w:r>
          </w:p>
          <w:p w14:paraId="32179733">
            <w:pPr>
              <w:widowControl/>
              <w:rPr>
                <w:rFonts w:ascii="FangSong" w:hAnsi="FangSong" w:eastAsia="FangSong"/>
                <w:b w:val="0"/>
                <w:bCs/>
                <w:kern w:val="0"/>
                <w:sz w:val="24"/>
              </w:rPr>
            </w:pPr>
            <w:r>
              <w:rPr>
                <w:rFonts w:hint="eastAsia" w:ascii="FangSong" w:hAnsi="FangSong" w:eastAsia="FangSong"/>
                <w:b w:val="0"/>
                <w:bCs/>
                <w:kern w:val="0"/>
                <w:sz w:val="24"/>
              </w:rPr>
              <w:t xml:space="preserve"> </w:t>
            </w:r>
          </w:p>
          <w:p w14:paraId="61028232">
            <w:pPr>
              <w:rPr>
                <w:rFonts w:ascii="FangSong" w:hAnsi="FangSong" w:eastAsia="FangSong" w:cs="Times New Roman"/>
                <w:b w:val="0"/>
                <w:sz w:val="24"/>
              </w:rPr>
            </w:pPr>
          </w:p>
          <w:p w14:paraId="5E6728E9">
            <w:pPr>
              <w:rPr>
                <w:rFonts w:ascii="FangSong" w:hAnsi="FangSong" w:eastAsia="FangSong" w:cs="Times New Roman"/>
                <w:b w:val="0"/>
                <w:sz w:val="24"/>
              </w:rPr>
            </w:pPr>
          </w:p>
          <w:p w14:paraId="38499347">
            <w:pPr>
              <w:widowControl/>
              <w:ind w:firstLine="240" w:firstLineChars="100"/>
              <w:jc w:val="both"/>
              <w:rPr>
                <w:rFonts w:ascii="FangSong" w:hAnsi="FangSong" w:eastAsia="FangSong"/>
                <w:b w:val="0"/>
                <w:bCs/>
                <w:kern w:val="0"/>
                <w:sz w:val="24"/>
              </w:rPr>
            </w:pPr>
          </w:p>
        </w:tc>
      </w:tr>
      <w:tr w14:paraId="3D6B1B73">
        <w:trPr>
          <w:trHeight w:val="1517" w:hRule="atLeast"/>
        </w:trPr>
        <w:tc>
          <w:tcPr>
            <w:tcW w:w="8295" w:type="dxa"/>
            <w:gridSpan w:val="4"/>
            <w:tcBorders>
              <w:top w:val="single" w:color="auto" w:sz="4" w:space="0"/>
              <w:left w:val="single" w:color="auto" w:sz="4" w:space="0"/>
              <w:bottom w:val="single" w:color="auto" w:sz="4" w:space="0"/>
              <w:right w:val="single" w:color="auto" w:sz="4" w:space="0"/>
            </w:tcBorders>
          </w:tcPr>
          <w:p w14:paraId="1ECEF4CD">
            <w:pPr>
              <w:widowControl/>
              <w:jc w:val="left"/>
              <w:rPr>
                <w:rFonts w:ascii="FangSong" w:hAnsi="FangSong" w:eastAsia="FangSong"/>
                <w:b w:val="0"/>
                <w:bCs/>
                <w:kern w:val="0"/>
                <w:sz w:val="24"/>
              </w:rPr>
            </w:pPr>
            <w:r>
              <w:rPr>
                <w:rFonts w:hint="eastAsia" w:ascii="FangSong" w:hAnsi="FangSong" w:eastAsia="FangSong"/>
                <w:b w:val="0"/>
                <w:bCs/>
                <w:kern w:val="0"/>
                <w:sz w:val="24"/>
              </w:rPr>
              <w:t>挂靠单位意见（不少于1</w:t>
            </w:r>
            <w:r>
              <w:rPr>
                <w:rFonts w:ascii="FangSong" w:hAnsi="FangSong" w:eastAsia="FangSong"/>
                <w:b w:val="0"/>
                <w:bCs/>
                <w:kern w:val="0"/>
                <w:sz w:val="24"/>
              </w:rPr>
              <w:t>00</w:t>
            </w:r>
            <w:r>
              <w:rPr>
                <w:rFonts w:hint="eastAsia" w:ascii="FangSong" w:hAnsi="FangSong" w:eastAsia="FangSong"/>
                <w:b w:val="0"/>
                <w:bCs/>
                <w:kern w:val="0"/>
                <w:sz w:val="24"/>
              </w:rPr>
              <w:t>字）：</w:t>
            </w:r>
          </w:p>
          <w:p w14:paraId="04923112">
            <w:pPr>
              <w:widowControl/>
              <w:jc w:val="left"/>
              <w:rPr>
                <w:rFonts w:ascii="FangSong" w:hAnsi="FangSong" w:eastAsia="FangSong"/>
                <w:b w:val="0"/>
                <w:bCs/>
                <w:kern w:val="0"/>
                <w:sz w:val="24"/>
              </w:rPr>
            </w:pPr>
          </w:p>
          <w:p w14:paraId="777135C9">
            <w:pPr>
              <w:rPr>
                <w:rFonts w:ascii="FangSong" w:hAnsi="FangSong" w:eastAsia="FangSong" w:cs="Times New Roman"/>
                <w:b w:val="0"/>
                <w:i/>
                <w:iCs/>
                <w:color w:val="767171"/>
                <w:sz w:val="24"/>
              </w:rPr>
            </w:pPr>
          </w:p>
          <w:p w14:paraId="4D294D57">
            <w:pPr>
              <w:rPr>
                <w:rFonts w:ascii="FangSong" w:hAnsi="FangSong" w:eastAsia="FangSong" w:cs="Times New Roman"/>
                <w:b w:val="0"/>
                <w:sz w:val="24"/>
              </w:rPr>
            </w:pPr>
          </w:p>
          <w:p w14:paraId="4488DD0B">
            <w:pPr>
              <w:widowControl/>
              <w:jc w:val="left"/>
              <w:rPr>
                <w:rFonts w:ascii="FangSong" w:hAnsi="FangSong" w:eastAsia="FangSong"/>
                <w:b w:val="0"/>
                <w:bCs/>
                <w:kern w:val="0"/>
                <w:sz w:val="24"/>
              </w:rPr>
            </w:pPr>
          </w:p>
          <w:p w14:paraId="554B1B82">
            <w:pPr>
              <w:widowControl/>
              <w:jc w:val="left"/>
              <w:rPr>
                <w:rFonts w:ascii="FangSong" w:hAnsi="FangSong" w:eastAsia="FangSong"/>
                <w:b w:val="0"/>
                <w:bCs/>
                <w:kern w:val="0"/>
                <w:sz w:val="24"/>
              </w:rPr>
            </w:pPr>
          </w:p>
        </w:tc>
      </w:tr>
    </w:tbl>
    <w:p w14:paraId="5108E0B8">
      <w:pPr>
        <w:spacing w:line="240" w:lineRule="exact"/>
        <w:ind w:right="420"/>
        <w:rPr>
          <w:rFonts w:ascii="FangSong" w:hAnsi="FangSong" w:eastAsia="FangSong"/>
          <w:b w:val="0"/>
          <w:bCs/>
          <w:sz w:val="24"/>
        </w:rPr>
      </w:pPr>
      <w:bookmarkStart w:id="4" w:name="_Hlk35596575"/>
    </w:p>
    <w:p w14:paraId="482D309D">
      <w:pPr>
        <w:spacing w:line="240" w:lineRule="exact"/>
        <w:rPr>
          <w:rFonts w:ascii="FangSong" w:hAnsi="FangSong" w:eastAsia="FangSong"/>
          <w:b w:val="0"/>
          <w:bCs/>
          <w:sz w:val="24"/>
        </w:rPr>
      </w:pPr>
      <w:r>
        <w:rPr>
          <w:rFonts w:hint="eastAsia" w:ascii="FangSong" w:hAnsi="FangSong" w:eastAsia="FangSong"/>
          <w:b w:val="0"/>
          <w:bCs/>
          <w:sz w:val="24"/>
        </w:rPr>
        <w:t>共青团中南财经政法大学委员会二〇二五年制</w:t>
      </w:r>
      <w:bookmarkEnd w:id="4"/>
    </w:p>
    <w:sectPr>
      <w:pgSz w:w="11906" w:h="16838"/>
      <w:pgMar w:top="1440" w:right="1800" w:bottom="1440" w:left="1800" w:header="851" w:footer="992" w:gutter="0"/>
      <w:cols w:space="425" w:num="1"/>
      <w:docGrid w:type="lines" w:linePitch="3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ourier New">
    <w:panose1 w:val="02070609020205090404"/>
    <w:charset w:val="00"/>
    <w:family w:val="modern"/>
    <w:pitch w:val="default"/>
    <w:sig w:usb0="E0000AFF" w:usb1="40007843" w:usb2="00000001" w:usb3="00000000" w:csb0="400001BF" w:csb1="DFF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angSong">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4304C"/>
    <w:multiLevelType w:val="singleLevel"/>
    <w:tmpl w:val="EF34304C"/>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HorizontalSpacing w:val="281"/>
  <w:drawingGridVerticalSpacing w:val="19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2MTJlM2M3NjU2MjBhMWFkNDUyYzQ2MWUzMDg0YmIifQ=="/>
    <w:docVar w:name="KSO_WPS_MARK_KEY" w:val="9619b678-2c08-4d8a-a28f-662d0fd6d59c"/>
  </w:docVars>
  <w:rsids>
    <w:rsidRoot w:val="00172A27"/>
    <w:rsid w:val="000401EA"/>
    <w:rsid w:val="000829EF"/>
    <w:rsid w:val="000A6AD4"/>
    <w:rsid w:val="00132FB8"/>
    <w:rsid w:val="0014767A"/>
    <w:rsid w:val="00172A27"/>
    <w:rsid w:val="00232C07"/>
    <w:rsid w:val="002400E1"/>
    <w:rsid w:val="002433DB"/>
    <w:rsid w:val="003B45B9"/>
    <w:rsid w:val="00400882"/>
    <w:rsid w:val="0045095A"/>
    <w:rsid w:val="00457DDF"/>
    <w:rsid w:val="004D60B0"/>
    <w:rsid w:val="00510C45"/>
    <w:rsid w:val="00551D5B"/>
    <w:rsid w:val="00594357"/>
    <w:rsid w:val="005D26B0"/>
    <w:rsid w:val="0064650E"/>
    <w:rsid w:val="006964C5"/>
    <w:rsid w:val="006A561B"/>
    <w:rsid w:val="006D007A"/>
    <w:rsid w:val="006F1D2E"/>
    <w:rsid w:val="0077076D"/>
    <w:rsid w:val="007B7B8E"/>
    <w:rsid w:val="007C72EB"/>
    <w:rsid w:val="007D623C"/>
    <w:rsid w:val="0081402A"/>
    <w:rsid w:val="0085593D"/>
    <w:rsid w:val="008950F4"/>
    <w:rsid w:val="009216D1"/>
    <w:rsid w:val="00993D32"/>
    <w:rsid w:val="00A270C1"/>
    <w:rsid w:val="00A27727"/>
    <w:rsid w:val="00A46499"/>
    <w:rsid w:val="00B2713A"/>
    <w:rsid w:val="00B51ECB"/>
    <w:rsid w:val="00BE7E49"/>
    <w:rsid w:val="00C16835"/>
    <w:rsid w:val="00C65B13"/>
    <w:rsid w:val="00CB0EBD"/>
    <w:rsid w:val="00D22AA4"/>
    <w:rsid w:val="00D5798C"/>
    <w:rsid w:val="00F604AC"/>
    <w:rsid w:val="00F62A9A"/>
    <w:rsid w:val="00FF79B2"/>
    <w:rsid w:val="102B51B4"/>
    <w:rsid w:val="16854717"/>
    <w:rsid w:val="23F87C30"/>
    <w:rsid w:val="2BFF61C5"/>
    <w:rsid w:val="40DE3BFC"/>
    <w:rsid w:val="43A55D8E"/>
    <w:rsid w:val="57CA7277"/>
    <w:rsid w:val="5C1B6D71"/>
    <w:rsid w:val="5D457DD0"/>
    <w:rsid w:val="5E312A69"/>
    <w:rsid w:val="76C5613E"/>
    <w:rsid w:val="A6F63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center"/>
    </w:pPr>
    <w:rPr>
      <w:rFonts w:ascii="Calibri" w:hAnsi="Calibri" w:eastAsia="宋体" w:cs="宋体"/>
      <w:b/>
      <w:kern w:val="2"/>
      <w:sz w:val="28"/>
      <w:szCs w:val="24"/>
      <w:lang w:val="en-US" w:eastAsia="zh-CN" w:bidi="ar-SA"/>
    </w:rPr>
  </w:style>
  <w:style w:type="paragraph" w:styleId="2">
    <w:name w:val="heading 1"/>
    <w:basedOn w:val="1"/>
    <w:next w:val="1"/>
    <w:qFormat/>
    <w:uiPriority w:val="9"/>
    <w:pPr>
      <w:keepNext/>
      <w:keepLines/>
      <w:spacing w:line="600" w:lineRule="exact"/>
      <w:outlineLvl w:val="0"/>
    </w:pPr>
    <w:rPr>
      <w:rFonts w:eastAsia="方正小标宋简体"/>
      <w:bCs/>
      <w:kern w:val="44"/>
      <w:sz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480" w:firstLineChars="200"/>
    </w:pPr>
    <w:rPr>
      <w:sz w:val="24"/>
    </w:rPr>
  </w:style>
  <w:style w:type="paragraph" w:styleId="4">
    <w:name w:val="Plain Text"/>
    <w:basedOn w:val="1"/>
    <w:link w:val="12"/>
    <w:qFormat/>
    <w:uiPriority w:val="0"/>
    <w:pPr>
      <w:jc w:val="both"/>
    </w:pPr>
    <w:rPr>
      <w:rFonts w:ascii="宋体" w:hAnsi="Courier New" w:cs="Courier New"/>
      <w:b w:val="0"/>
      <w:sz w:val="21"/>
      <w:szCs w:val="21"/>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99"/>
    <w:pPr>
      <w:pBdr>
        <w:bottom w:val="single" w:color="auto" w:sz="6" w:space="1"/>
      </w:pBdr>
      <w:tabs>
        <w:tab w:val="center" w:pos="4153"/>
        <w:tab w:val="right" w:pos="8306"/>
      </w:tabs>
      <w:snapToGrid w:val="0"/>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b/>
      <w:kern w:val="2"/>
      <w:sz w:val="18"/>
      <w:szCs w:val="18"/>
    </w:rPr>
  </w:style>
  <w:style w:type="character" w:customStyle="1" w:styleId="11">
    <w:name w:val="页脚 字符"/>
    <w:basedOn w:val="9"/>
    <w:link w:val="5"/>
    <w:qFormat/>
    <w:uiPriority w:val="99"/>
    <w:rPr>
      <w:b/>
      <w:kern w:val="2"/>
      <w:sz w:val="18"/>
      <w:szCs w:val="18"/>
    </w:rPr>
  </w:style>
  <w:style w:type="character" w:customStyle="1" w:styleId="12">
    <w:name w:val="纯文本 字符"/>
    <w:basedOn w:val="9"/>
    <w:link w:val="4"/>
    <w:qFormat/>
    <w:uiPriority w:val="0"/>
    <w:rPr>
      <w:rFonts w:ascii="宋体" w:hAnsi="Courier New" w:cs="Courier New"/>
      <w:kern w:val="2"/>
      <w:sz w:val="21"/>
      <w:szCs w:val="21"/>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365</Words>
  <Characters>2084</Characters>
  <Lines>17</Lines>
  <Paragraphs>4</Paragraphs>
  <TotalTime>23</TotalTime>
  <ScaleCrop>false</ScaleCrop>
  <LinksUpToDate>false</LinksUpToDate>
  <CharactersWithSpaces>2445</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2025-03-17T23:16:00Z</dcterms:created>
  <dc:creator>黄静远</dc:creator>
  <cp:lastModifiedBy>JIA</cp:lastModifiedBy>
  <dcterms:modified xsi:type="dcterms:W3CDTF">2025-03-21T15:31:25Z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24F625CD053C49078672C18A89960D77</vt:lpwstr>
  </property>
</Properties>
</file>