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5BBAD">
      <w:pPr>
        <w:widowControl w:val="0"/>
        <w:spacing w:line="560" w:lineRule="exact"/>
        <w:ind w:firstLine="0" w:firstLineChars="0"/>
        <w:rPr>
          <w:rFonts w:hint="eastAsia" w:ascii="黑体" w:hAnsi="黑体" w:eastAsia="黑体" w:cs="Times New Roman"/>
          <w:b/>
          <w:bCs/>
          <w:sz w:val="32"/>
          <w:szCs w:val="32"/>
          <w:highlight w:val="none"/>
        </w:rPr>
      </w:pPr>
      <w:bookmarkStart w:id="2" w:name="_GoBack"/>
      <w:r>
        <w:rPr>
          <w:rFonts w:hint="eastAsia" w:ascii="黑体" w:hAnsi="黑体" w:eastAsia="黑体" w:cs="Times New Roman"/>
          <w:b/>
          <w:bCs/>
          <w:sz w:val="32"/>
          <w:szCs w:val="32"/>
          <w:highlight w:val="none"/>
        </w:rPr>
        <w:t>附件8</w:t>
      </w:r>
    </w:p>
    <w:bookmarkEnd w:id="2"/>
    <w:p w14:paraId="43AD1D0F">
      <w:pPr>
        <w:widowControl/>
        <w:spacing w:before="156" w:beforeLines="50" w:after="156" w:afterLines="50" w:line="460" w:lineRule="exact"/>
        <w:jc w:val="center"/>
        <w:rPr>
          <w:rFonts w:ascii="方正小标宋简体" w:hAnsi="仿宋" w:eastAsia="方正小标宋简体" w:cs="Times New Roman"/>
          <w:bCs/>
          <w:kern w:val="0"/>
          <w:sz w:val="36"/>
          <w:szCs w:val="36"/>
        </w:rPr>
      </w:pPr>
      <w:r>
        <w:rPr>
          <w:rFonts w:hint="eastAsia" w:ascii="方正小标宋简体" w:hAnsi="仿宋" w:eastAsia="方正小标宋简体" w:cs="Times New Roman"/>
          <w:bCs/>
          <w:kern w:val="0"/>
          <w:sz w:val="36"/>
          <w:szCs w:val="36"/>
        </w:rPr>
        <w:t>“优秀社团指导教师”评选细则</w:t>
      </w:r>
    </w:p>
    <w:p w14:paraId="156451D5">
      <w:pPr>
        <w:widowControl/>
        <w:spacing w:before="78" w:beforeLines="25" w:after="78" w:afterLines="25" w:line="460" w:lineRule="exact"/>
        <w:jc w:val="center"/>
        <w:rPr>
          <w:rFonts w:ascii="黑体" w:hAnsi="黑体" w:eastAsia="黑体"/>
          <w:b/>
          <w:sz w:val="32"/>
          <w:szCs w:val="32"/>
        </w:rPr>
      </w:pPr>
      <w:r>
        <w:rPr>
          <w:rFonts w:hint="eastAsia" w:ascii="黑体" w:hAnsi="黑体" w:eastAsia="黑体"/>
          <w:b/>
          <w:sz w:val="32"/>
          <w:szCs w:val="32"/>
        </w:rPr>
        <w:t>第一章  总则</w:t>
      </w:r>
    </w:p>
    <w:p w14:paraId="626D5353">
      <w:pPr>
        <w:widowControl/>
        <w:spacing w:line="460" w:lineRule="exact"/>
        <w:ind w:firstLine="640" w:firstLineChars="200"/>
        <w:jc w:val="left"/>
        <w:rPr>
          <w:rFonts w:ascii="仿宋_GB2312" w:hAnsi="仿宋" w:eastAsia="仿宋_GB2312"/>
          <w:sz w:val="28"/>
          <w:szCs w:val="28"/>
        </w:rPr>
      </w:pPr>
      <w:r>
        <w:rPr>
          <w:rFonts w:hint="eastAsia" w:ascii="黑体" w:hAnsi="黑体" w:eastAsia="黑体"/>
          <w:sz w:val="32"/>
          <w:szCs w:val="32"/>
        </w:rPr>
        <w:t>第一条</w:t>
      </w: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为鼓励指导教师积极有效地给予学生社团方向性、发展性的指导，营造指导老师与广大学生共同繁荣校园文化的氛围，从而更好地发挥大学生社团在校园文化建设中的积极作用、促进学生的全面发展，特制定本评优细则。</w:t>
      </w:r>
    </w:p>
    <w:p w14:paraId="1C342BB6">
      <w:pPr>
        <w:widowControl/>
        <w:spacing w:line="460" w:lineRule="exact"/>
        <w:ind w:firstLine="640" w:firstLineChars="200"/>
        <w:jc w:val="left"/>
        <w:rPr>
          <w:rFonts w:ascii="仿宋_GB2312" w:hAnsi="仿宋" w:eastAsia="仿宋_GB2312" w:cs="Times New Roman"/>
          <w:kern w:val="0"/>
          <w:sz w:val="28"/>
          <w:szCs w:val="28"/>
        </w:rPr>
      </w:pPr>
      <w:r>
        <w:rPr>
          <w:rFonts w:hint="eastAsia" w:ascii="黑体" w:hAnsi="黑体" w:eastAsia="黑体" w:cs="Times New Roman"/>
          <w:kern w:val="0"/>
          <w:sz w:val="32"/>
          <w:szCs w:val="32"/>
        </w:rPr>
        <w:t>第二条</w:t>
      </w:r>
      <w:r>
        <w:rPr>
          <w:rFonts w:hint="eastAsia" w:ascii="仿宋_GB2312" w:hAnsi="仿宋" w:eastAsia="仿宋_GB2312" w:cs="Times New Roman"/>
          <w:color w:val="FF0000"/>
          <w:kern w:val="0"/>
          <w:sz w:val="28"/>
          <w:szCs w:val="28"/>
        </w:rPr>
        <w:t xml:space="preserve"> </w:t>
      </w:r>
      <w:r>
        <w:rPr>
          <w:rFonts w:ascii="仿宋_GB2312" w:hAnsi="仿宋" w:eastAsia="仿宋_GB2312" w:cs="Times New Roman"/>
          <w:color w:val="FF0000"/>
          <w:kern w:val="0"/>
          <w:sz w:val="28"/>
          <w:szCs w:val="28"/>
        </w:rPr>
        <w:t xml:space="preserve"> </w:t>
      </w:r>
      <w:r>
        <w:rPr>
          <w:rFonts w:hint="eastAsia" w:ascii="仿宋_GB2312" w:hAnsi="仿宋" w:eastAsia="仿宋_GB2312" w:cs="Times New Roman"/>
          <w:kern w:val="0"/>
          <w:sz w:val="28"/>
          <w:szCs w:val="28"/>
        </w:rPr>
        <w:t>优秀社团指导教师评优工作在校团委的指导下，由共青团中南财经政法大学委员会社团管理部（以下简称社团管理部）具体施行，评优遵循公平、公正、公开的原则，接受全校广大师生的监督，各学生社团须积极配合社团管理部开展工作。</w:t>
      </w:r>
    </w:p>
    <w:p w14:paraId="4D46C0FE">
      <w:pPr>
        <w:widowControl/>
        <w:spacing w:before="78" w:beforeLines="25" w:after="78" w:afterLines="25" w:line="460" w:lineRule="exact"/>
        <w:jc w:val="center"/>
        <w:rPr>
          <w:rFonts w:ascii="黑体" w:hAnsi="黑体" w:eastAsia="黑体"/>
          <w:b/>
          <w:sz w:val="32"/>
          <w:szCs w:val="32"/>
        </w:rPr>
      </w:pPr>
      <w:r>
        <w:rPr>
          <w:rFonts w:hint="eastAsia" w:ascii="黑体" w:hAnsi="黑体" w:eastAsia="黑体"/>
          <w:b/>
          <w:sz w:val="32"/>
          <w:szCs w:val="32"/>
        </w:rPr>
        <w:t>第二章  评优办法</w:t>
      </w:r>
    </w:p>
    <w:p w14:paraId="643A2278">
      <w:pPr>
        <w:widowControl/>
        <w:spacing w:line="460" w:lineRule="exact"/>
        <w:ind w:firstLine="640" w:firstLineChars="200"/>
        <w:jc w:val="left"/>
        <w:rPr>
          <w:rFonts w:ascii="仿宋_GB2312" w:hAnsi="仿宋" w:eastAsia="仿宋_GB2312"/>
          <w:sz w:val="28"/>
          <w:szCs w:val="28"/>
        </w:rPr>
      </w:pPr>
      <w:r>
        <w:rPr>
          <w:rFonts w:hint="eastAsia" w:ascii="黑体" w:hAnsi="黑体" w:eastAsia="黑体"/>
          <w:sz w:val="32"/>
          <w:szCs w:val="32"/>
        </w:rPr>
        <w:t>第三条</w:t>
      </w: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优秀社团指导教师的评优对象为各学生社团在任指导教师。参与优秀社团指导教师评优须具备以下条件：</w:t>
      </w:r>
    </w:p>
    <w:p w14:paraId="13C6F825">
      <w:pPr>
        <w:widowControl/>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（一）遵守《中华人民共和国高等教育法》《中华人民共和国教师法》《新时代高校教师职业行为十项准则》等国家法律法规，严格遵守学校的各项规章制度；</w:t>
      </w:r>
    </w:p>
    <w:p w14:paraId="4D489DCC">
      <w:pPr>
        <w:widowControl/>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（二）具备较强的思想政治素质、组织管理能力和与社团发展相关的专业知识，工作经验丰富，热心公益事务，具有奉献精神，关爱学生成长；</w:t>
      </w:r>
    </w:p>
    <w:p w14:paraId="5AD9C0E6">
      <w:pPr>
        <w:widowControl/>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（三）愿意接受社团管理部门、业务指导单位的考核管理，积极配合完成社团指导的相关工作；</w:t>
      </w:r>
    </w:p>
    <w:p w14:paraId="0E00A871">
      <w:pPr>
        <w:widowControl/>
        <w:spacing w:line="4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（四）认真履行社团指导老师工作职责，每学年至少组织召开1次社团全体成员会议，每学期开展社团专业指导培训不少于 3 次，每学期参与指导社团组织开展的符合其自身特色、健康向上的社团活动不少于2项；</w:t>
      </w:r>
    </w:p>
    <w:p w14:paraId="1E1A42AB">
      <w:pPr>
        <w:widowControl/>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（五）所指导的学生社团成立须达到一学年以上（不包括本学年新注册成立的社团），且无违规违纪现象发生，未受过各类处罚；</w:t>
      </w:r>
    </w:p>
    <w:p w14:paraId="112FDB15">
      <w:pPr>
        <w:widowControl/>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（六）所指导的学生社团在本学年五四综合表彰中获得“优秀社团”称号；</w:t>
      </w:r>
    </w:p>
    <w:p w14:paraId="2F8EA9E2">
      <w:pPr>
        <w:widowControl/>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（七）在本学年学生社团指导老师考核中获得“良好”及以上评级。</w:t>
      </w:r>
    </w:p>
    <w:p w14:paraId="763FB642">
      <w:pPr>
        <w:widowControl/>
        <w:spacing w:line="460" w:lineRule="exact"/>
        <w:ind w:firstLine="640" w:firstLineChars="200"/>
        <w:jc w:val="left"/>
        <w:rPr>
          <w:rFonts w:ascii="仿宋_GB2312" w:hAnsi="仿宋" w:eastAsia="仿宋_GB2312"/>
          <w:sz w:val="28"/>
          <w:szCs w:val="28"/>
        </w:rPr>
      </w:pPr>
      <w:r>
        <w:rPr>
          <w:rFonts w:hint="eastAsia" w:ascii="黑体" w:hAnsi="黑体" w:eastAsia="黑体"/>
          <w:sz w:val="32"/>
          <w:szCs w:val="32"/>
        </w:rPr>
        <w:t>第四条</w:t>
      </w: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优秀社团指导教师评选以自荐为原则，并由各学生社团民主推选产生，每学年符合资格的社团可推选出至多一名社团指导教师为候选人</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每学年每名教师至多作为一个优秀社团的指导教师候选人参与考核，不得重复参选</w:t>
      </w:r>
      <w:r>
        <w:rPr>
          <w:rFonts w:hint="eastAsia" w:ascii="仿宋_GB2312" w:hAnsi="仿宋" w:eastAsia="仿宋_GB2312"/>
          <w:sz w:val="28"/>
          <w:szCs w:val="28"/>
        </w:rPr>
        <w:t>。</w:t>
      </w:r>
    </w:p>
    <w:p w14:paraId="660F314B">
      <w:pPr>
        <w:widowControl/>
        <w:spacing w:before="78" w:beforeLines="25" w:after="78" w:afterLines="25" w:line="460" w:lineRule="exact"/>
        <w:jc w:val="center"/>
        <w:rPr>
          <w:rFonts w:ascii="黑体" w:hAnsi="黑体" w:eastAsia="黑体"/>
          <w:b/>
          <w:sz w:val="32"/>
          <w:szCs w:val="32"/>
        </w:rPr>
      </w:pPr>
      <w:r>
        <w:rPr>
          <w:rFonts w:hint="eastAsia" w:ascii="黑体" w:hAnsi="黑体" w:eastAsia="黑体"/>
          <w:b/>
          <w:sz w:val="32"/>
          <w:szCs w:val="32"/>
        </w:rPr>
        <w:t>第三章  评优程序</w:t>
      </w:r>
    </w:p>
    <w:p w14:paraId="13006C31">
      <w:pPr>
        <w:widowControl/>
        <w:spacing w:line="460" w:lineRule="exact"/>
        <w:ind w:firstLine="640" w:firstLineChars="200"/>
        <w:jc w:val="left"/>
        <w:rPr>
          <w:rFonts w:ascii="仿宋_GB2312" w:hAnsi="仿宋" w:eastAsia="仿宋_GB2312"/>
          <w:sz w:val="28"/>
          <w:szCs w:val="28"/>
        </w:rPr>
      </w:pPr>
      <w:r>
        <w:rPr>
          <w:rFonts w:hint="eastAsia" w:ascii="黑体" w:hAnsi="黑体" w:eastAsia="黑体"/>
          <w:sz w:val="32"/>
          <w:szCs w:val="32"/>
        </w:rPr>
        <w:t>第五条</w:t>
      </w: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评优程序分为社团推荐和社团管理部考核两个阶段，必要时社团管理部将对优秀社团指导教师候选人进行实际考察。</w:t>
      </w:r>
    </w:p>
    <w:p w14:paraId="256D5CB7">
      <w:pPr>
        <w:widowControl/>
        <w:spacing w:line="460" w:lineRule="exact"/>
        <w:ind w:firstLine="640" w:firstLineChars="200"/>
        <w:jc w:val="left"/>
        <w:rPr>
          <w:rFonts w:ascii="仿宋_GB2312" w:hAnsi="仿宋" w:eastAsia="仿宋_GB2312"/>
          <w:sz w:val="28"/>
          <w:szCs w:val="28"/>
        </w:rPr>
      </w:pPr>
      <w:r>
        <w:rPr>
          <w:rFonts w:hint="eastAsia" w:ascii="黑体" w:hAnsi="黑体" w:eastAsia="黑体"/>
          <w:sz w:val="32"/>
          <w:szCs w:val="32"/>
        </w:rPr>
        <w:t>第六条</w:t>
      </w: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学生社团推荐程序如下：</w:t>
      </w:r>
    </w:p>
    <w:p w14:paraId="52966862">
      <w:pPr>
        <w:widowControl/>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（一）在本学年五四综合表彰中获得“优秀社团”称号的学生社团参照评优标准，在学生社团内部按照公平、公正、公开的原则进行民主投票，推选出一名本社团的优秀社团指导教师候选人；</w:t>
      </w:r>
    </w:p>
    <w:p w14:paraId="45FC67C9">
      <w:pPr>
        <w:widowControl/>
        <w:spacing w:line="4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（二）具有参选意愿的优秀社团指导教师候选人，需按实事求是的准则，认真规范填写优秀社团指导教师申报表；</w:t>
      </w:r>
    </w:p>
    <w:p w14:paraId="45CDF89C">
      <w:pPr>
        <w:widowControl/>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（三）各学生社团将本社团的优秀社团指导教师申报表在规定时间内上交至校团委社团管理部社团事务办公室邮箱(</w:t>
      </w:r>
      <w:r>
        <w:rPr>
          <w:rFonts w:ascii="仿宋_GB2312" w:hAnsi="仿宋" w:eastAsia="仿宋_GB2312"/>
          <w:sz w:val="28"/>
          <w:szCs w:val="28"/>
        </w:rPr>
        <w:t>zuelslswb@163.com)</w:t>
      </w:r>
      <w:r>
        <w:rPr>
          <w:rFonts w:hint="eastAsia" w:ascii="仿宋_GB2312" w:hAnsi="仿宋" w:eastAsia="仿宋_GB2312"/>
          <w:sz w:val="28"/>
          <w:szCs w:val="28"/>
        </w:rPr>
        <w:t>，并附上个人申报材料和社团推荐材料。</w:t>
      </w:r>
    </w:p>
    <w:p w14:paraId="07BB4D75">
      <w:pPr>
        <w:widowControl/>
        <w:spacing w:line="460" w:lineRule="exact"/>
        <w:ind w:firstLine="640" w:firstLineChars="200"/>
        <w:jc w:val="left"/>
        <w:rPr>
          <w:rFonts w:ascii="仿宋_GB2312" w:hAnsi="仿宋" w:eastAsia="仿宋_GB2312"/>
          <w:sz w:val="28"/>
          <w:szCs w:val="28"/>
        </w:rPr>
      </w:pPr>
      <w:r>
        <w:rPr>
          <w:rFonts w:hint="eastAsia" w:ascii="黑体" w:hAnsi="黑体" w:eastAsia="黑体"/>
          <w:sz w:val="32"/>
          <w:szCs w:val="32"/>
        </w:rPr>
        <w:t>第七条</w:t>
      </w: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社团管理部考核程序如下：</w:t>
      </w:r>
    </w:p>
    <w:p w14:paraId="01FF1ECD">
      <w:pPr>
        <w:widowControl/>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（一）社团管理部根据各学生社团上交的名单及相关材料，对名单进行调查核实；</w:t>
      </w:r>
    </w:p>
    <w:p w14:paraId="5D52A077">
      <w:pPr>
        <w:widowControl/>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（二）社团管理部根据评优标准，结合各学生社团工作实际及上报的相关材料对候选人进行综合考评；</w:t>
      </w:r>
    </w:p>
    <w:p w14:paraId="04E7C920">
      <w:pPr>
        <w:widowControl/>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（三）社团管理部将优秀社团指导教师名单确定后进行公示，并在公示期满后将名单报送校团委审核、批准，进行表彰。</w:t>
      </w:r>
    </w:p>
    <w:p w14:paraId="5C082DC8">
      <w:pPr>
        <w:widowControl/>
        <w:spacing w:before="78" w:beforeLines="25" w:after="78" w:afterLines="25" w:line="460" w:lineRule="exact"/>
        <w:jc w:val="center"/>
        <w:rPr>
          <w:rFonts w:ascii="黑体" w:hAnsi="黑体" w:eastAsia="黑体"/>
          <w:b/>
          <w:sz w:val="32"/>
          <w:szCs w:val="32"/>
        </w:rPr>
      </w:pPr>
      <w:r>
        <w:rPr>
          <w:rFonts w:hint="eastAsia" w:ascii="黑体" w:hAnsi="黑体" w:eastAsia="黑体"/>
          <w:b/>
          <w:sz w:val="32"/>
          <w:szCs w:val="32"/>
        </w:rPr>
        <w:t>第四章  评优结果</w:t>
      </w:r>
    </w:p>
    <w:p w14:paraId="7202F64C">
      <w:pPr>
        <w:widowControl/>
        <w:spacing w:line="460" w:lineRule="exact"/>
        <w:ind w:firstLine="640" w:firstLineChars="200"/>
        <w:jc w:val="left"/>
        <w:rPr>
          <w:rFonts w:ascii="仿宋_GB2312" w:hAnsi="仿宋" w:eastAsia="仿宋_GB2312"/>
          <w:sz w:val="28"/>
          <w:szCs w:val="28"/>
        </w:rPr>
      </w:pPr>
      <w:r>
        <w:rPr>
          <w:rFonts w:hint="eastAsia" w:ascii="黑体" w:hAnsi="黑体" w:eastAsia="黑体"/>
          <w:sz w:val="32"/>
          <w:szCs w:val="32"/>
        </w:rPr>
        <w:t>第八条</w:t>
      </w:r>
      <w:r>
        <w:rPr>
          <w:rFonts w:ascii="仿宋_GB2312" w:hAnsi="仿宋" w:eastAsia="仿宋_GB2312"/>
          <w:sz w:val="28"/>
          <w:szCs w:val="28"/>
        </w:rPr>
        <w:t xml:space="preserve"> </w:t>
      </w:r>
      <w:r>
        <w:rPr>
          <w:rFonts w:hint="eastAsia" w:ascii="仿宋_GB2312" w:hAnsi="仿宋" w:eastAsia="仿宋_GB2312"/>
          <w:sz w:val="28"/>
          <w:szCs w:val="28"/>
        </w:rPr>
        <w:t xml:space="preserve"> 校团委将优秀社团指导教师名单进行公示，接受广大师生的监督及投诉。</w:t>
      </w:r>
    </w:p>
    <w:p w14:paraId="4529F92C">
      <w:pPr>
        <w:widowControl/>
        <w:spacing w:line="460" w:lineRule="exact"/>
        <w:ind w:firstLine="640" w:firstLineChars="200"/>
        <w:jc w:val="left"/>
        <w:rPr>
          <w:rFonts w:ascii="仿宋_GB2312" w:hAnsi="仿宋" w:eastAsia="仿宋_GB2312"/>
          <w:sz w:val="28"/>
          <w:szCs w:val="28"/>
        </w:rPr>
      </w:pPr>
      <w:r>
        <w:rPr>
          <w:rFonts w:hint="eastAsia" w:ascii="黑体" w:hAnsi="黑体" w:eastAsia="黑体"/>
          <w:sz w:val="32"/>
          <w:szCs w:val="32"/>
        </w:rPr>
        <w:t>第九条</w:t>
      </w:r>
      <w:r>
        <w:rPr>
          <w:rFonts w:ascii="仿宋_GB2312" w:hAnsi="仿宋" w:eastAsia="仿宋_GB2312"/>
          <w:sz w:val="28"/>
          <w:szCs w:val="28"/>
        </w:rPr>
        <w:t xml:space="preserve"> </w:t>
      </w:r>
      <w:r>
        <w:rPr>
          <w:rFonts w:hint="eastAsia" w:ascii="仿宋_GB2312" w:hAnsi="仿宋" w:eastAsia="仿宋_GB2312"/>
          <w:sz w:val="28"/>
          <w:szCs w:val="28"/>
        </w:rPr>
        <w:t xml:space="preserve"> 公示期满后，校团委将为优秀社团指导教师颁发荣誉证书。</w:t>
      </w:r>
    </w:p>
    <w:p w14:paraId="14EE71EE">
      <w:pPr>
        <w:widowControl/>
        <w:spacing w:before="78" w:beforeLines="25" w:after="78" w:afterLines="25" w:line="460" w:lineRule="exact"/>
        <w:jc w:val="center"/>
        <w:rPr>
          <w:rFonts w:ascii="黑体" w:hAnsi="黑体" w:eastAsia="黑体"/>
          <w:b/>
          <w:sz w:val="32"/>
          <w:szCs w:val="32"/>
        </w:rPr>
      </w:pPr>
      <w:r>
        <w:rPr>
          <w:rFonts w:hint="eastAsia" w:ascii="黑体" w:hAnsi="黑体" w:eastAsia="黑体"/>
          <w:b/>
          <w:sz w:val="32"/>
          <w:szCs w:val="32"/>
        </w:rPr>
        <w:t>第五章  附  则</w:t>
      </w:r>
    </w:p>
    <w:p w14:paraId="2C2B02C7">
      <w:pPr>
        <w:widowControl/>
        <w:spacing w:line="460" w:lineRule="exact"/>
        <w:ind w:firstLine="640" w:firstLineChars="200"/>
        <w:jc w:val="left"/>
        <w:rPr>
          <w:rFonts w:ascii="仿宋_GB2312" w:hAnsi="仿宋" w:eastAsia="仿宋_GB2312"/>
          <w:sz w:val="28"/>
          <w:szCs w:val="28"/>
        </w:rPr>
      </w:pPr>
      <w:r>
        <w:rPr>
          <w:rFonts w:hint="eastAsia" w:ascii="黑体" w:hAnsi="黑体" w:eastAsia="黑体"/>
          <w:sz w:val="32"/>
          <w:szCs w:val="32"/>
        </w:rPr>
        <w:t>第十条</w:t>
      </w:r>
      <w:r>
        <w:rPr>
          <w:rFonts w:hint="eastAsia" w:ascii="仿宋_GB2312" w:hAnsi="仿宋" w:eastAsia="仿宋_GB2312"/>
          <w:b/>
          <w:bCs/>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在公示期内有异议的社团，应提供确凿证据和充足材料，向社团管理部申请复议。复议过后，社团管理部将优秀社团指导老师名单报送校团委审核、批准。</w:t>
      </w:r>
    </w:p>
    <w:p w14:paraId="5B3D0DFA">
      <w:pPr>
        <w:widowControl/>
        <w:spacing w:line="460" w:lineRule="exact"/>
        <w:ind w:firstLine="640" w:firstLineChars="200"/>
        <w:jc w:val="left"/>
        <w:rPr>
          <w:rFonts w:ascii="仿宋_GB2312" w:hAnsi="仿宋" w:eastAsia="仿宋_GB2312"/>
          <w:sz w:val="28"/>
          <w:szCs w:val="28"/>
        </w:rPr>
      </w:pPr>
      <w:r>
        <w:rPr>
          <w:rFonts w:hint="eastAsia" w:ascii="黑体" w:hAnsi="黑体" w:eastAsia="黑体"/>
          <w:sz w:val="32"/>
          <w:szCs w:val="32"/>
        </w:rPr>
        <w:t>第十一条</w:t>
      </w:r>
      <w:r>
        <w:rPr>
          <w:rFonts w:ascii="仿宋_GB2312" w:hAnsi="仿宋" w:eastAsia="仿宋_GB2312"/>
          <w:sz w:val="28"/>
          <w:szCs w:val="28"/>
        </w:rPr>
        <w:t xml:space="preserve"> </w:t>
      </w:r>
      <w:r>
        <w:rPr>
          <w:rFonts w:hint="eastAsia" w:ascii="仿宋_GB2312" w:hAnsi="仿宋" w:eastAsia="仿宋_GB2312"/>
          <w:sz w:val="28"/>
          <w:szCs w:val="28"/>
        </w:rPr>
        <w:t xml:space="preserve"> 本细则的具体解释权归共青团中南财经政法大学委员会所有。</w:t>
      </w:r>
    </w:p>
    <w:p w14:paraId="53F26EDC">
      <w:pPr>
        <w:widowControl/>
        <w:spacing w:line="460" w:lineRule="exact"/>
        <w:ind w:firstLine="627" w:firstLineChars="224"/>
        <w:jc w:val="left"/>
        <w:rPr>
          <w:rFonts w:ascii="仿宋_GB2312" w:hAnsi="仿宋" w:eastAsia="仿宋_GB2312"/>
          <w:sz w:val="28"/>
          <w:szCs w:val="28"/>
        </w:rPr>
      </w:pPr>
    </w:p>
    <w:p w14:paraId="060E9361">
      <w:pPr>
        <w:widowControl/>
        <w:spacing w:line="460" w:lineRule="exact"/>
        <w:ind w:firstLine="627" w:firstLineChars="224"/>
        <w:jc w:val="left"/>
        <w:rPr>
          <w:rFonts w:ascii="仿宋_GB2312" w:hAnsi="仿宋" w:eastAsia="仿宋_GB2312"/>
          <w:sz w:val="28"/>
          <w:szCs w:val="28"/>
        </w:rPr>
      </w:pPr>
    </w:p>
    <w:p w14:paraId="129DDCA9">
      <w:pPr>
        <w:widowControl/>
        <w:spacing w:line="460" w:lineRule="exact"/>
        <w:ind w:firstLine="627" w:firstLineChars="224"/>
        <w:jc w:val="right"/>
        <w:rPr>
          <w:rFonts w:ascii="仿宋_GB2312" w:hAnsi="仿宋" w:eastAsia="仿宋_GB2312"/>
          <w:sz w:val="28"/>
          <w:szCs w:val="28"/>
        </w:rPr>
      </w:pPr>
      <w:r>
        <w:rPr>
          <w:rFonts w:hint="eastAsia" w:ascii="仿宋_GB2312" w:hAnsi="仿宋" w:eastAsia="仿宋_GB2312"/>
          <w:sz w:val="28"/>
          <w:szCs w:val="28"/>
        </w:rPr>
        <w:t>共青团中南财经政法大学委员会</w:t>
      </w:r>
    </w:p>
    <w:p w14:paraId="19F5DB79">
      <w:pPr>
        <w:spacing w:line="460" w:lineRule="exact"/>
        <w:ind w:right="630" w:rightChars="300" w:firstLine="560" w:firstLineChars="200"/>
        <w:jc w:val="right"/>
        <w:rPr>
          <w:rFonts w:ascii="仿宋_GB2312" w:hAnsi="仿宋" w:eastAsia="仿宋_GB2312"/>
          <w:sz w:val="28"/>
          <w:szCs w:val="28"/>
        </w:rPr>
      </w:pPr>
      <w:r>
        <w:rPr>
          <w:rFonts w:hint="eastAsia" w:ascii="仿宋_GB2312" w:hAnsi="仿宋" w:eastAsia="仿宋_GB2312"/>
          <w:sz w:val="28"/>
          <w:szCs w:val="28"/>
        </w:rPr>
        <w:t>2025年3月</w:t>
      </w:r>
      <w:r>
        <w:rPr>
          <w:rFonts w:ascii="仿宋_GB2312" w:hAnsi="仿宋" w:eastAsia="仿宋_GB2312"/>
          <w:sz w:val="28"/>
          <w:szCs w:val="28"/>
        </w:rPr>
        <w:t>1</w:t>
      </w:r>
      <w:r>
        <w:rPr>
          <w:rFonts w:hint="eastAsia" w:ascii="仿宋_GB2312" w:hAnsi="仿宋" w:eastAsia="仿宋_GB2312"/>
          <w:sz w:val="28"/>
          <w:szCs w:val="28"/>
        </w:rPr>
        <w:t>7日</w:t>
      </w:r>
    </w:p>
    <w:p w14:paraId="50B4815F">
      <w:pPr>
        <w:widowControl/>
        <w:jc w:val="left"/>
        <w:rPr>
          <w:rFonts w:ascii="仿宋" w:hAnsi="仿宋" w:eastAsia="仿宋"/>
          <w:sz w:val="24"/>
          <w:szCs w:val="24"/>
        </w:rPr>
      </w:pPr>
      <w:r>
        <w:rPr>
          <w:rFonts w:ascii="仿宋" w:hAnsi="仿宋" w:eastAsia="仿宋"/>
          <w:sz w:val="24"/>
          <w:szCs w:val="24"/>
        </w:rPr>
        <w:br w:type="page"/>
      </w:r>
    </w:p>
    <w:p w14:paraId="6B13230F">
      <w:pPr>
        <w:jc w:val="center"/>
        <w:rPr>
          <w:rFonts w:ascii="方正小标宋简体" w:hAnsi="仿宋" w:eastAsia="方正小标宋简体" w:cs="Times New Roman"/>
          <w:bCs/>
          <w:sz w:val="36"/>
          <w:szCs w:val="36"/>
        </w:rPr>
      </w:pPr>
      <w:r>
        <w:rPr>
          <w:rFonts w:hint="eastAsia" w:ascii="方正小标宋简体" w:hAnsi="仿宋" w:eastAsia="方正小标宋简体" w:cs="Times New Roman"/>
          <w:bCs/>
          <w:sz w:val="36"/>
          <w:szCs w:val="36"/>
        </w:rPr>
        <w:t>优秀社团指导教师申报表</w:t>
      </w:r>
    </w:p>
    <w:p w14:paraId="60EF50B9">
      <w:pPr>
        <w:jc w:val="center"/>
        <w:rPr>
          <w:rFonts w:ascii="仿宋" w:hAnsi="仿宋" w:eastAsia="仿宋" w:cs="Times New Roman"/>
          <w:sz w:val="24"/>
          <w:szCs w:val="24"/>
        </w:rPr>
      </w:pPr>
      <w:r>
        <w:rPr>
          <w:rFonts w:hint="eastAsia" w:ascii="仿宋" w:hAnsi="仿宋" w:eastAsia="仿宋" w:cs="Times New Roman"/>
          <w:sz w:val="24"/>
          <w:szCs w:val="24"/>
        </w:rPr>
        <w:t>（此表仅供在本学年五四表彰中获得“优秀社团”称号</w:t>
      </w:r>
      <w:bookmarkStart w:id="0" w:name="OLE_LINK1"/>
      <w:r>
        <w:rPr>
          <w:rFonts w:hint="eastAsia" w:ascii="仿宋" w:hAnsi="仿宋" w:eastAsia="仿宋" w:cs="Times New Roman"/>
          <w:sz w:val="24"/>
          <w:szCs w:val="24"/>
        </w:rPr>
        <w:t>的社团所推选优秀指导教师候选人填写）</w:t>
      </w:r>
    </w:p>
    <w:p w14:paraId="11952AC1">
      <w:pPr>
        <w:jc w:val="center"/>
        <w:rPr>
          <w:rFonts w:ascii="仿宋" w:hAnsi="仿宋" w:eastAsia="仿宋" w:cs="Times New Roman"/>
          <w:sz w:val="24"/>
          <w:szCs w:val="24"/>
        </w:rPr>
      </w:pPr>
      <w:r>
        <w:rPr>
          <w:rFonts w:hint="eastAsia" w:ascii="仿宋" w:hAnsi="仿宋" w:eastAsia="仿宋" w:cs="Times New Roman"/>
          <w:sz w:val="24"/>
          <w:szCs w:val="24"/>
        </w:rPr>
        <w:t>协会</w:t>
      </w:r>
      <w:bookmarkEnd w:id="0"/>
      <w:r>
        <w:rPr>
          <w:rFonts w:hint="eastAsia" w:ascii="仿宋" w:hAnsi="仿宋" w:eastAsia="仿宋" w:cs="Times New Roman"/>
          <w:sz w:val="24"/>
          <w:szCs w:val="24"/>
        </w:rPr>
        <w:t>名称 ：                         任职日期：</w:t>
      </w:r>
    </w:p>
    <w:tbl>
      <w:tblPr>
        <w:tblStyle w:val="5"/>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60"/>
        <w:gridCol w:w="720"/>
        <w:gridCol w:w="900"/>
        <w:gridCol w:w="900"/>
        <w:gridCol w:w="1260"/>
        <w:gridCol w:w="1980"/>
      </w:tblGrid>
      <w:tr w14:paraId="4339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1260" w:type="dxa"/>
            <w:vAlign w:val="center"/>
          </w:tcPr>
          <w:p w14:paraId="22D70930">
            <w:pPr>
              <w:jc w:val="center"/>
              <w:rPr>
                <w:rFonts w:ascii="仿宋" w:hAnsi="仿宋" w:eastAsia="仿宋" w:cs="Times New Roman"/>
                <w:sz w:val="24"/>
                <w:szCs w:val="24"/>
              </w:rPr>
            </w:pPr>
            <w:r>
              <w:rPr>
                <w:rFonts w:hint="eastAsia" w:ascii="仿宋" w:hAnsi="仿宋" w:eastAsia="仿宋" w:cs="Times New Roman"/>
                <w:sz w:val="24"/>
                <w:szCs w:val="24"/>
              </w:rPr>
              <w:t>姓名</w:t>
            </w:r>
          </w:p>
        </w:tc>
        <w:tc>
          <w:tcPr>
            <w:tcW w:w="1260" w:type="dxa"/>
            <w:vAlign w:val="center"/>
          </w:tcPr>
          <w:p w14:paraId="29E763E3">
            <w:pPr>
              <w:rPr>
                <w:rFonts w:ascii="仿宋" w:hAnsi="仿宋" w:eastAsia="仿宋" w:cs="Times New Roman"/>
                <w:sz w:val="24"/>
                <w:szCs w:val="24"/>
              </w:rPr>
            </w:pPr>
          </w:p>
        </w:tc>
        <w:tc>
          <w:tcPr>
            <w:tcW w:w="720" w:type="dxa"/>
            <w:vAlign w:val="center"/>
          </w:tcPr>
          <w:p w14:paraId="6D81946C">
            <w:pPr>
              <w:rPr>
                <w:rFonts w:ascii="仿宋" w:hAnsi="仿宋" w:eastAsia="仿宋" w:cs="Times New Roman"/>
                <w:sz w:val="24"/>
                <w:szCs w:val="24"/>
              </w:rPr>
            </w:pPr>
            <w:r>
              <w:rPr>
                <w:rFonts w:hint="eastAsia" w:ascii="仿宋" w:hAnsi="仿宋" w:eastAsia="仿宋" w:cs="Times New Roman"/>
                <w:sz w:val="24"/>
                <w:szCs w:val="24"/>
              </w:rPr>
              <w:t>性别</w:t>
            </w:r>
          </w:p>
        </w:tc>
        <w:tc>
          <w:tcPr>
            <w:tcW w:w="900" w:type="dxa"/>
            <w:vAlign w:val="center"/>
          </w:tcPr>
          <w:p w14:paraId="2FBD4333">
            <w:pPr>
              <w:rPr>
                <w:rFonts w:ascii="仿宋" w:hAnsi="仿宋" w:eastAsia="仿宋" w:cs="Times New Roman"/>
                <w:sz w:val="24"/>
                <w:szCs w:val="24"/>
              </w:rPr>
            </w:pPr>
          </w:p>
        </w:tc>
        <w:tc>
          <w:tcPr>
            <w:tcW w:w="900" w:type="dxa"/>
            <w:vAlign w:val="center"/>
          </w:tcPr>
          <w:p w14:paraId="7947B85A">
            <w:pPr>
              <w:jc w:val="center"/>
              <w:rPr>
                <w:rFonts w:ascii="仿宋" w:hAnsi="仿宋" w:eastAsia="仿宋" w:cs="Times New Roman"/>
                <w:sz w:val="24"/>
                <w:szCs w:val="24"/>
              </w:rPr>
            </w:pPr>
            <w:r>
              <w:rPr>
                <w:rFonts w:hint="eastAsia" w:ascii="仿宋" w:hAnsi="仿宋" w:eastAsia="仿宋" w:cs="Times New Roman"/>
                <w:sz w:val="24"/>
                <w:szCs w:val="24"/>
              </w:rPr>
              <w:t>民族</w:t>
            </w:r>
          </w:p>
        </w:tc>
        <w:tc>
          <w:tcPr>
            <w:tcW w:w="1260" w:type="dxa"/>
            <w:vAlign w:val="center"/>
          </w:tcPr>
          <w:p w14:paraId="0958A2FC">
            <w:pPr>
              <w:rPr>
                <w:rFonts w:ascii="仿宋" w:hAnsi="仿宋" w:eastAsia="仿宋" w:cs="Times New Roman"/>
                <w:sz w:val="24"/>
                <w:szCs w:val="24"/>
              </w:rPr>
            </w:pPr>
          </w:p>
        </w:tc>
        <w:tc>
          <w:tcPr>
            <w:tcW w:w="1980" w:type="dxa"/>
            <w:vMerge w:val="restart"/>
            <w:textDirection w:val="tbRlV"/>
            <w:vAlign w:val="center"/>
          </w:tcPr>
          <w:p w14:paraId="73F4958C">
            <w:pPr>
              <w:ind w:left="113" w:right="113"/>
              <w:jc w:val="center"/>
              <w:rPr>
                <w:rFonts w:ascii="仿宋" w:hAnsi="仿宋" w:eastAsia="仿宋" w:cs="Times New Roman"/>
                <w:sz w:val="24"/>
                <w:szCs w:val="24"/>
              </w:rPr>
            </w:pPr>
            <w:r>
              <w:rPr>
                <w:rFonts w:hint="eastAsia" w:ascii="仿宋" w:hAnsi="仿宋" w:eastAsia="仿宋" w:cs="Times New Roman"/>
                <w:sz w:val="24"/>
                <w:szCs w:val="24"/>
              </w:rPr>
              <w:t>照片</w:t>
            </w:r>
          </w:p>
        </w:tc>
      </w:tr>
      <w:tr w14:paraId="5520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1260" w:type="dxa"/>
            <w:vAlign w:val="center"/>
          </w:tcPr>
          <w:p w14:paraId="7A2EB1E1">
            <w:pPr>
              <w:jc w:val="center"/>
              <w:rPr>
                <w:rFonts w:ascii="仿宋" w:hAnsi="仿宋" w:eastAsia="仿宋" w:cs="Times New Roman"/>
                <w:sz w:val="24"/>
                <w:szCs w:val="24"/>
              </w:rPr>
            </w:pPr>
            <w:r>
              <w:rPr>
                <w:rFonts w:hint="eastAsia" w:ascii="仿宋" w:hAnsi="仿宋" w:eastAsia="仿宋" w:cs="Times New Roman"/>
                <w:sz w:val="24"/>
                <w:szCs w:val="24"/>
              </w:rPr>
              <w:t>工号</w:t>
            </w:r>
          </w:p>
        </w:tc>
        <w:tc>
          <w:tcPr>
            <w:tcW w:w="1260" w:type="dxa"/>
            <w:vAlign w:val="center"/>
          </w:tcPr>
          <w:p w14:paraId="18E38EC7">
            <w:pPr>
              <w:rPr>
                <w:rFonts w:ascii="仿宋" w:hAnsi="仿宋" w:eastAsia="仿宋" w:cs="Times New Roman"/>
                <w:sz w:val="24"/>
                <w:szCs w:val="24"/>
              </w:rPr>
            </w:pPr>
          </w:p>
        </w:tc>
        <w:tc>
          <w:tcPr>
            <w:tcW w:w="1620" w:type="dxa"/>
            <w:gridSpan w:val="2"/>
            <w:vAlign w:val="center"/>
          </w:tcPr>
          <w:p w14:paraId="7D37C85C">
            <w:pPr>
              <w:jc w:val="center"/>
              <w:rPr>
                <w:rFonts w:ascii="仿宋" w:hAnsi="仿宋" w:eastAsia="仿宋" w:cs="Times New Roman"/>
                <w:sz w:val="24"/>
                <w:szCs w:val="24"/>
              </w:rPr>
            </w:pPr>
            <w:r>
              <w:rPr>
                <w:rFonts w:hint="eastAsia" w:ascii="仿宋" w:hAnsi="仿宋" w:eastAsia="仿宋" w:cs="Times New Roman"/>
                <w:sz w:val="24"/>
                <w:szCs w:val="24"/>
              </w:rPr>
              <w:t>联系方式</w:t>
            </w:r>
          </w:p>
        </w:tc>
        <w:tc>
          <w:tcPr>
            <w:tcW w:w="2160" w:type="dxa"/>
            <w:gridSpan w:val="2"/>
            <w:vAlign w:val="center"/>
          </w:tcPr>
          <w:p w14:paraId="292DA8D4">
            <w:pPr>
              <w:rPr>
                <w:rFonts w:ascii="仿宋" w:hAnsi="仿宋" w:eastAsia="仿宋" w:cs="Times New Roman"/>
                <w:sz w:val="24"/>
                <w:szCs w:val="24"/>
              </w:rPr>
            </w:pPr>
          </w:p>
        </w:tc>
        <w:tc>
          <w:tcPr>
            <w:tcW w:w="1980" w:type="dxa"/>
            <w:vMerge w:val="continue"/>
            <w:vAlign w:val="center"/>
          </w:tcPr>
          <w:p w14:paraId="0258230F">
            <w:pPr>
              <w:rPr>
                <w:rFonts w:ascii="仿宋" w:hAnsi="仿宋" w:eastAsia="仿宋" w:cs="Times New Roman"/>
                <w:sz w:val="24"/>
                <w:szCs w:val="24"/>
              </w:rPr>
            </w:pPr>
          </w:p>
        </w:tc>
      </w:tr>
      <w:tr w14:paraId="29A2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1" w:hRule="atLeast"/>
        </w:trPr>
        <w:tc>
          <w:tcPr>
            <w:tcW w:w="1260" w:type="dxa"/>
            <w:vAlign w:val="center"/>
          </w:tcPr>
          <w:p w14:paraId="73871EEB">
            <w:pPr>
              <w:rPr>
                <w:rFonts w:ascii="仿宋" w:hAnsi="仿宋" w:eastAsia="仿宋" w:cs="Times New Roman"/>
                <w:sz w:val="24"/>
                <w:szCs w:val="24"/>
              </w:rPr>
            </w:pPr>
            <w:r>
              <w:rPr>
                <w:rFonts w:hint="eastAsia" w:ascii="仿宋" w:hAnsi="仿宋" w:eastAsia="仿宋" w:cs="Times New Roman"/>
                <w:sz w:val="24"/>
                <w:szCs w:val="24"/>
              </w:rPr>
              <w:t>政治面貌</w:t>
            </w:r>
          </w:p>
        </w:tc>
        <w:tc>
          <w:tcPr>
            <w:tcW w:w="1260" w:type="dxa"/>
            <w:vAlign w:val="center"/>
          </w:tcPr>
          <w:p w14:paraId="259A8471">
            <w:pPr>
              <w:rPr>
                <w:rFonts w:ascii="仿宋" w:hAnsi="仿宋" w:eastAsia="仿宋" w:cs="Times New Roman"/>
                <w:sz w:val="24"/>
                <w:szCs w:val="24"/>
              </w:rPr>
            </w:pPr>
          </w:p>
        </w:tc>
        <w:tc>
          <w:tcPr>
            <w:tcW w:w="1620" w:type="dxa"/>
            <w:gridSpan w:val="2"/>
            <w:vAlign w:val="center"/>
          </w:tcPr>
          <w:p w14:paraId="5F56BF6A">
            <w:pPr>
              <w:jc w:val="center"/>
              <w:rPr>
                <w:rFonts w:ascii="仿宋" w:hAnsi="仿宋" w:eastAsia="仿宋" w:cs="Times New Roman"/>
                <w:sz w:val="24"/>
                <w:szCs w:val="24"/>
              </w:rPr>
            </w:pPr>
            <w:r>
              <w:rPr>
                <w:rFonts w:hint="eastAsia" w:ascii="仿宋" w:hAnsi="仿宋" w:eastAsia="仿宋" w:cs="Times New Roman"/>
                <w:sz w:val="24"/>
                <w:szCs w:val="24"/>
              </w:rPr>
              <w:t>所在院系</w:t>
            </w:r>
          </w:p>
        </w:tc>
        <w:tc>
          <w:tcPr>
            <w:tcW w:w="2160" w:type="dxa"/>
            <w:gridSpan w:val="2"/>
            <w:vAlign w:val="center"/>
          </w:tcPr>
          <w:p w14:paraId="2043A0E6">
            <w:pPr>
              <w:rPr>
                <w:rFonts w:ascii="仿宋" w:hAnsi="仿宋" w:eastAsia="仿宋" w:cs="Times New Roman"/>
                <w:sz w:val="24"/>
                <w:szCs w:val="24"/>
              </w:rPr>
            </w:pPr>
          </w:p>
        </w:tc>
        <w:tc>
          <w:tcPr>
            <w:tcW w:w="1980" w:type="dxa"/>
            <w:vMerge w:val="continue"/>
            <w:vAlign w:val="center"/>
          </w:tcPr>
          <w:p w14:paraId="055597A2">
            <w:pPr>
              <w:rPr>
                <w:rFonts w:ascii="仿宋" w:hAnsi="仿宋" w:eastAsia="仿宋" w:cs="Times New Roman"/>
                <w:sz w:val="24"/>
                <w:szCs w:val="24"/>
              </w:rPr>
            </w:pPr>
          </w:p>
        </w:tc>
      </w:tr>
      <w:tr w14:paraId="071E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3" w:hRule="atLeast"/>
        </w:trPr>
        <w:tc>
          <w:tcPr>
            <w:tcW w:w="1260" w:type="dxa"/>
            <w:vAlign w:val="center"/>
          </w:tcPr>
          <w:p w14:paraId="6F2F031E">
            <w:pPr>
              <w:jc w:val="center"/>
              <w:rPr>
                <w:rFonts w:ascii="仿宋" w:hAnsi="仿宋" w:eastAsia="仿宋" w:cs="Times New Roman"/>
                <w:sz w:val="24"/>
                <w:szCs w:val="24"/>
              </w:rPr>
            </w:pPr>
            <w:r>
              <w:rPr>
                <w:rFonts w:hint="eastAsia" w:ascii="仿宋" w:hAnsi="仿宋" w:eastAsia="仿宋" w:cs="Times New Roman"/>
                <w:sz w:val="24"/>
                <w:szCs w:val="24"/>
              </w:rPr>
              <w:t>所获荣誉</w:t>
            </w:r>
          </w:p>
        </w:tc>
        <w:tc>
          <w:tcPr>
            <w:tcW w:w="2880" w:type="dxa"/>
            <w:gridSpan w:val="3"/>
            <w:vAlign w:val="center"/>
          </w:tcPr>
          <w:p w14:paraId="042EB6E5">
            <w:pPr>
              <w:rPr>
                <w:rFonts w:ascii="仿宋" w:hAnsi="仿宋" w:eastAsia="仿宋" w:cs="Times New Roman"/>
                <w:sz w:val="24"/>
                <w:szCs w:val="24"/>
              </w:rPr>
            </w:pPr>
          </w:p>
        </w:tc>
        <w:tc>
          <w:tcPr>
            <w:tcW w:w="900" w:type="dxa"/>
            <w:vAlign w:val="center"/>
          </w:tcPr>
          <w:p w14:paraId="6C96969E">
            <w:pPr>
              <w:jc w:val="center"/>
              <w:rPr>
                <w:rFonts w:ascii="仿宋" w:hAnsi="仿宋" w:eastAsia="仿宋" w:cs="Times New Roman"/>
                <w:sz w:val="24"/>
                <w:szCs w:val="24"/>
              </w:rPr>
            </w:pPr>
            <w:r>
              <w:rPr>
                <w:rFonts w:ascii="仿宋" w:hAnsi="仿宋" w:eastAsia="仿宋" w:cs="Times New Roman"/>
                <w:sz w:val="24"/>
                <w:szCs w:val="24"/>
              </w:rPr>
              <w:t>职称</w:t>
            </w:r>
          </w:p>
        </w:tc>
        <w:tc>
          <w:tcPr>
            <w:tcW w:w="3240" w:type="dxa"/>
            <w:gridSpan w:val="2"/>
            <w:vAlign w:val="center"/>
          </w:tcPr>
          <w:p w14:paraId="426DF14C">
            <w:pPr>
              <w:rPr>
                <w:rFonts w:ascii="仿宋" w:hAnsi="仿宋" w:eastAsia="仿宋" w:cs="Times New Roman"/>
                <w:sz w:val="24"/>
                <w:szCs w:val="24"/>
              </w:rPr>
            </w:pPr>
          </w:p>
        </w:tc>
      </w:tr>
      <w:tr w14:paraId="0438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86" w:hRule="atLeast"/>
        </w:trPr>
        <w:tc>
          <w:tcPr>
            <w:tcW w:w="1260" w:type="dxa"/>
            <w:textDirection w:val="tbRlV"/>
            <w:vAlign w:val="center"/>
          </w:tcPr>
          <w:p w14:paraId="53A5E346">
            <w:pPr>
              <w:ind w:left="113" w:leftChars="54" w:right="113" w:firstLine="600" w:firstLineChars="250"/>
              <w:rPr>
                <w:rFonts w:ascii="仿宋" w:hAnsi="仿宋" w:eastAsia="仿宋" w:cs="Times New Roman"/>
                <w:sz w:val="24"/>
                <w:szCs w:val="24"/>
              </w:rPr>
            </w:pPr>
            <w:r>
              <w:rPr>
                <w:rFonts w:hint="eastAsia" w:ascii="仿宋" w:hAnsi="仿宋" w:eastAsia="仿宋" w:cs="Times New Roman"/>
                <w:sz w:val="24"/>
                <w:szCs w:val="24"/>
              </w:rPr>
              <w:t>学生社团指导经历</w:t>
            </w:r>
          </w:p>
        </w:tc>
        <w:tc>
          <w:tcPr>
            <w:tcW w:w="7020" w:type="dxa"/>
            <w:gridSpan w:val="6"/>
          </w:tcPr>
          <w:p w14:paraId="00B6DBFD">
            <w:pPr>
              <w:rPr>
                <w:rFonts w:ascii="仿宋" w:hAnsi="仿宋" w:eastAsia="仿宋" w:cs="Times New Roman"/>
                <w:sz w:val="24"/>
                <w:szCs w:val="24"/>
              </w:rPr>
            </w:pPr>
          </w:p>
          <w:p w14:paraId="0CAB010D">
            <w:pPr>
              <w:rPr>
                <w:rFonts w:ascii="仿宋" w:hAnsi="仿宋" w:eastAsia="仿宋" w:cs="Times New Roman"/>
                <w:sz w:val="24"/>
                <w:szCs w:val="24"/>
              </w:rPr>
            </w:pPr>
          </w:p>
          <w:p w14:paraId="5CAD3E44">
            <w:pPr>
              <w:rPr>
                <w:rFonts w:ascii="仿宋" w:hAnsi="仿宋" w:eastAsia="仿宋" w:cs="Times New Roman"/>
                <w:sz w:val="24"/>
                <w:szCs w:val="24"/>
              </w:rPr>
            </w:pPr>
          </w:p>
          <w:p w14:paraId="58ACE787">
            <w:pPr>
              <w:rPr>
                <w:rFonts w:ascii="仿宋" w:hAnsi="仿宋" w:eastAsia="仿宋" w:cs="Times New Roman"/>
                <w:sz w:val="24"/>
                <w:szCs w:val="24"/>
              </w:rPr>
            </w:pPr>
          </w:p>
          <w:p w14:paraId="019BCF94">
            <w:pPr>
              <w:ind w:firstLine="1920" w:firstLineChars="800"/>
              <w:rPr>
                <w:rFonts w:ascii="仿宋" w:hAnsi="仿宋" w:eastAsia="仿宋" w:cs="Times New Roman"/>
                <w:sz w:val="24"/>
                <w:szCs w:val="24"/>
              </w:rPr>
            </w:pPr>
            <w:r>
              <w:rPr>
                <w:rFonts w:hint="eastAsia" w:ascii="仿宋" w:hAnsi="仿宋" w:eastAsia="仿宋" w:cs="Times New Roman"/>
                <w:i/>
                <w:iCs/>
                <w:color w:val="767171"/>
                <w:sz w:val="24"/>
                <w:szCs w:val="24"/>
              </w:rPr>
              <w:t>（不少于200字）</w:t>
            </w:r>
          </w:p>
          <w:p w14:paraId="770194E6">
            <w:pPr>
              <w:rPr>
                <w:rFonts w:ascii="仿宋" w:hAnsi="仿宋" w:eastAsia="仿宋" w:cs="Times New Roman"/>
                <w:sz w:val="24"/>
                <w:szCs w:val="24"/>
              </w:rPr>
            </w:pPr>
          </w:p>
          <w:p w14:paraId="0E6EF3FC">
            <w:pPr>
              <w:rPr>
                <w:rFonts w:ascii="仿宋" w:hAnsi="仿宋" w:eastAsia="仿宋" w:cs="Times New Roman"/>
                <w:sz w:val="24"/>
                <w:szCs w:val="24"/>
              </w:rPr>
            </w:pPr>
          </w:p>
          <w:p w14:paraId="4B8BACC0">
            <w:pPr>
              <w:rPr>
                <w:rFonts w:ascii="仿宋" w:hAnsi="仿宋" w:eastAsia="仿宋" w:cs="Times New Roman"/>
                <w:sz w:val="24"/>
                <w:szCs w:val="24"/>
              </w:rPr>
            </w:pPr>
          </w:p>
          <w:p w14:paraId="61FDE0B4">
            <w:pPr>
              <w:rPr>
                <w:rFonts w:hint="eastAsia" w:ascii="仿宋" w:hAnsi="仿宋" w:eastAsia="仿宋" w:cs="Times New Roman"/>
                <w:sz w:val="24"/>
                <w:szCs w:val="24"/>
              </w:rPr>
            </w:pPr>
          </w:p>
          <w:p w14:paraId="0D09C3EB">
            <w:pPr>
              <w:rPr>
                <w:rFonts w:ascii="仿宋" w:hAnsi="仿宋" w:eastAsia="仿宋" w:cs="Times New Roman"/>
                <w:sz w:val="24"/>
                <w:szCs w:val="24"/>
              </w:rPr>
            </w:pPr>
          </w:p>
        </w:tc>
      </w:tr>
      <w:tr w14:paraId="6D20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55" w:hRule="atLeast"/>
        </w:trPr>
        <w:tc>
          <w:tcPr>
            <w:tcW w:w="1260" w:type="dxa"/>
            <w:textDirection w:val="tbRlV"/>
            <w:vAlign w:val="center"/>
          </w:tcPr>
          <w:p w14:paraId="328CF7D1">
            <w:pPr>
              <w:ind w:right="113" w:firstLine="240" w:firstLineChars="100"/>
              <w:jc w:val="center"/>
              <w:rPr>
                <w:rFonts w:ascii="仿宋" w:hAnsi="仿宋" w:eastAsia="仿宋" w:cs="Times New Roman"/>
                <w:sz w:val="24"/>
                <w:szCs w:val="24"/>
              </w:rPr>
            </w:pPr>
            <w:r>
              <w:rPr>
                <w:rFonts w:hint="eastAsia" w:ascii="仿宋" w:hAnsi="仿宋" w:eastAsia="仿宋" w:cs="Times New Roman"/>
                <w:sz w:val="24"/>
                <w:szCs w:val="24"/>
              </w:rPr>
              <w:t>社员评定</w:t>
            </w:r>
          </w:p>
        </w:tc>
        <w:tc>
          <w:tcPr>
            <w:tcW w:w="7020" w:type="dxa"/>
            <w:gridSpan w:val="6"/>
          </w:tcPr>
          <w:p w14:paraId="1FF289C0">
            <w:pPr>
              <w:rPr>
                <w:rFonts w:ascii="仿宋" w:hAnsi="仿宋" w:eastAsia="仿宋" w:cs="Times New Roman"/>
                <w:sz w:val="24"/>
                <w:szCs w:val="24"/>
              </w:rPr>
            </w:pPr>
          </w:p>
          <w:p w14:paraId="5A40D6AB">
            <w:pPr>
              <w:rPr>
                <w:rFonts w:ascii="仿宋" w:hAnsi="仿宋" w:eastAsia="仿宋" w:cs="Times New Roman"/>
                <w:sz w:val="24"/>
                <w:szCs w:val="24"/>
              </w:rPr>
            </w:pPr>
          </w:p>
          <w:p w14:paraId="0D6C2E94">
            <w:pPr>
              <w:rPr>
                <w:rFonts w:ascii="仿宋" w:hAnsi="仿宋" w:eastAsia="仿宋" w:cs="Times New Roman"/>
                <w:sz w:val="24"/>
                <w:szCs w:val="24"/>
              </w:rPr>
            </w:pPr>
          </w:p>
          <w:p w14:paraId="1DC04B91">
            <w:pPr>
              <w:jc w:val="center"/>
              <w:rPr>
                <w:rFonts w:ascii="仿宋" w:hAnsi="仿宋" w:eastAsia="仿宋" w:cs="Times New Roman"/>
                <w:i/>
                <w:iCs/>
                <w:color w:val="767171"/>
                <w:sz w:val="24"/>
                <w:szCs w:val="24"/>
              </w:rPr>
            </w:pPr>
            <w:r>
              <w:rPr>
                <w:rFonts w:hint="eastAsia" w:ascii="仿宋" w:hAnsi="仿宋" w:eastAsia="仿宋" w:cs="Times New Roman"/>
                <w:i/>
                <w:iCs/>
                <w:color w:val="767171"/>
                <w:sz w:val="24"/>
                <w:szCs w:val="24"/>
              </w:rPr>
              <w:t>（</w:t>
            </w:r>
            <w:bookmarkStart w:id="1" w:name="OLE_LINK2"/>
            <w:r>
              <w:rPr>
                <w:rFonts w:hint="eastAsia" w:ascii="仿宋" w:hAnsi="仿宋" w:eastAsia="仿宋" w:cs="Times New Roman"/>
                <w:i/>
                <w:iCs/>
                <w:color w:val="767171"/>
                <w:sz w:val="24"/>
                <w:szCs w:val="24"/>
              </w:rPr>
              <w:t>需填写具体意见</w:t>
            </w:r>
            <w:bookmarkEnd w:id="1"/>
            <w:r>
              <w:rPr>
                <w:rFonts w:hint="eastAsia" w:ascii="仿宋" w:hAnsi="仿宋" w:eastAsia="仿宋" w:cs="Times New Roman"/>
                <w:i/>
                <w:iCs/>
                <w:color w:val="767171"/>
                <w:sz w:val="24"/>
                <w:szCs w:val="24"/>
              </w:rPr>
              <w:t>与评价内容，不少于200字）</w:t>
            </w:r>
          </w:p>
          <w:p w14:paraId="445E2AEF">
            <w:pPr>
              <w:jc w:val="center"/>
              <w:rPr>
                <w:rFonts w:ascii="仿宋" w:hAnsi="仿宋" w:eastAsia="仿宋" w:cs="Times New Roman"/>
                <w:sz w:val="24"/>
                <w:szCs w:val="24"/>
              </w:rPr>
            </w:pPr>
          </w:p>
          <w:p w14:paraId="0051E0F1">
            <w:pPr>
              <w:rPr>
                <w:rFonts w:ascii="仿宋" w:hAnsi="仿宋" w:eastAsia="仿宋" w:cs="Times New Roman"/>
                <w:sz w:val="24"/>
                <w:szCs w:val="24"/>
              </w:rPr>
            </w:pPr>
          </w:p>
          <w:p w14:paraId="31490639">
            <w:pPr>
              <w:rPr>
                <w:rFonts w:ascii="仿宋" w:hAnsi="仿宋" w:eastAsia="仿宋" w:cs="Times New Roman"/>
                <w:sz w:val="24"/>
                <w:szCs w:val="24"/>
              </w:rPr>
            </w:pPr>
          </w:p>
          <w:p w14:paraId="77E57C60">
            <w:pPr>
              <w:rPr>
                <w:rFonts w:ascii="仿宋" w:hAnsi="仿宋" w:eastAsia="仿宋" w:cs="Times New Roman"/>
                <w:sz w:val="24"/>
                <w:szCs w:val="24"/>
              </w:rPr>
            </w:pPr>
          </w:p>
          <w:p w14:paraId="12745910">
            <w:pPr>
              <w:rPr>
                <w:rFonts w:ascii="仿宋" w:hAnsi="仿宋" w:eastAsia="仿宋" w:cs="Times New Roman"/>
                <w:sz w:val="24"/>
                <w:szCs w:val="24"/>
              </w:rPr>
            </w:pPr>
          </w:p>
          <w:p w14:paraId="7C2B582A">
            <w:pPr>
              <w:rPr>
                <w:rFonts w:ascii="仿宋" w:hAnsi="仿宋" w:eastAsia="仿宋" w:cs="Times New Roman"/>
                <w:sz w:val="24"/>
                <w:szCs w:val="24"/>
              </w:rPr>
            </w:pPr>
          </w:p>
          <w:p w14:paraId="0CD97E69">
            <w:pPr>
              <w:rPr>
                <w:rFonts w:ascii="仿宋" w:hAnsi="仿宋" w:eastAsia="仿宋" w:cs="Arial"/>
                <w:kern w:val="0"/>
                <w:sz w:val="24"/>
                <w:szCs w:val="24"/>
              </w:rPr>
            </w:pPr>
          </w:p>
        </w:tc>
      </w:tr>
      <w:tr w14:paraId="59E3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41" w:hRule="atLeast"/>
        </w:trPr>
        <w:tc>
          <w:tcPr>
            <w:tcW w:w="1260" w:type="dxa"/>
            <w:textDirection w:val="tbRlV"/>
            <w:vAlign w:val="center"/>
          </w:tcPr>
          <w:p w14:paraId="759E267E">
            <w:pPr>
              <w:ind w:left="113" w:right="113"/>
              <w:jc w:val="center"/>
              <w:rPr>
                <w:rFonts w:ascii="仿宋" w:hAnsi="仿宋" w:eastAsia="仿宋" w:cs="Times New Roman"/>
                <w:sz w:val="24"/>
                <w:szCs w:val="24"/>
              </w:rPr>
            </w:pPr>
            <w:r>
              <w:rPr>
                <w:rFonts w:hint="eastAsia" w:ascii="仿宋" w:hAnsi="仿宋" w:eastAsia="仿宋" w:cs="Times New Roman"/>
                <w:sz w:val="24"/>
                <w:szCs w:val="24"/>
              </w:rPr>
              <w:t>挂靠单位意见</w:t>
            </w:r>
          </w:p>
        </w:tc>
        <w:tc>
          <w:tcPr>
            <w:tcW w:w="7020" w:type="dxa"/>
            <w:gridSpan w:val="6"/>
            <w:vAlign w:val="bottom"/>
          </w:tcPr>
          <w:p w14:paraId="02BE8024">
            <w:pPr>
              <w:jc w:val="center"/>
              <w:rPr>
                <w:rFonts w:ascii="仿宋" w:hAnsi="仿宋" w:eastAsia="仿宋" w:cs="Times New Roman"/>
                <w:i/>
                <w:iCs/>
                <w:color w:val="767171"/>
                <w:sz w:val="24"/>
                <w:szCs w:val="24"/>
              </w:rPr>
            </w:pPr>
            <w:r>
              <w:rPr>
                <w:rFonts w:hint="eastAsia" w:ascii="仿宋" w:hAnsi="仿宋" w:eastAsia="仿宋" w:cs="Times New Roman"/>
                <w:i/>
                <w:iCs/>
                <w:color w:val="767171"/>
                <w:sz w:val="24"/>
                <w:szCs w:val="24"/>
              </w:rPr>
              <w:t>（需填写具体意见与评价内容，不少于100字）</w:t>
            </w:r>
          </w:p>
          <w:p w14:paraId="2E82534C">
            <w:pPr>
              <w:jc w:val="center"/>
              <w:rPr>
                <w:rFonts w:ascii="仿宋" w:hAnsi="仿宋" w:eastAsia="仿宋" w:cs="Times New Roman"/>
                <w:sz w:val="24"/>
                <w:szCs w:val="24"/>
              </w:rPr>
            </w:pPr>
          </w:p>
          <w:p w14:paraId="69BCEAC6">
            <w:pPr>
              <w:ind w:right="640" w:firstLine="3600" w:firstLineChars="1500"/>
              <w:rPr>
                <w:rFonts w:ascii="仿宋" w:hAnsi="仿宋" w:eastAsia="仿宋" w:cs="Times New Roman"/>
                <w:sz w:val="24"/>
                <w:szCs w:val="24"/>
              </w:rPr>
            </w:pPr>
          </w:p>
        </w:tc>
      </w:tr>
    </w:tbl>
    <w:p w14:paraId="7F2A3D06">
      <w:pPr>
        <w:jc w:val="center"/>
        <w:rPr>
          <w:rFonts w:ascii="仿宋" w:hAnsi="仿宋" w:eastAsia="仿宋"/>
          <w:sz w:val="24"/>
        </w:rPr>
      </w:pPr>
      <w:r>
        <w:rPr>
          <w:rFonts w:hint="eastAsia" w:ascii="仿宋" w:hAnsi="仿宋" w:eastAsia="仿宋"/>
          <w:sz w:val="24"/>
        </w:rPr>
        <w:t>说明：此表请用黑色、蓝黑色钢笔或中性笔填写，字迹工整清晰。</w:t>
      </w:r>
    </w:p>
    <w:p w14:paraId="5695A3B2">
      <w:pPr>
        <w:spacing w:line="240" w:lineRule="exact"/>
        <w:ind w:right="420"/>
        <w:jc w:val="center"/>
        <w:rPr>
          <w:rFonts w:ascii="仿宋" w:hAnsi="仿宋" w:eastAsia="仿宋"/>
          <w:sz w:val="24"/>
        </w:rPr>
      </w:pPr>
    </w:p>
    <w:p w14:paraId="3E9D9E43">
      <w:pPr>
        <w:spacing w:line="240" w:lineRule="exact"/>
        <w:jc w:val="center"/>
        <w:rPr>
          <w:rFonts w:ascii="仿宋" w:hAnsi="仿宋" w:eastAsia="仿宋"/>
          <w:sz w:val="24"/>
        </w:rPr>
      </w:pPr>
      <w:r>
        <w:rPr>
          <w:rFonts w:hint="eastAsia" w:ascii="仿宋" w:hAnsi="仿宋" w:eastAsia="仿宋"/>
          <w:sz w:val="24"/>
        </w:rPr>
        <w:t>共青团中南财经政法大学委员会二〇二五年制</w:t>
      </w:r>
    </w:p>
    <w:p w14:paraId="4FB34DCC">
      <w:pPr>
        <w:ind w:firstLine="480"/>
        <w:rPr>
          <w:rFonts w:ascii="黑体" w:hAnsi="黑体" w:eastAsia="黑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MTJlM2M3NjU2MjBhMWFkNDUyYzQ2MWUzMDg0YmIifQ=="/>
    <w:docVar w:name="KSO_WPS_MARK_KEY" w:val="c422afaf-a6ae-40e7-a3ec-3818317f0ed9"/>
  </w:docVars>
  <w:rsids>
    <w:rsidRoot w:val="00351B95"/>
    <w:rsid w:val="00016819"/>
    <w:rsid w:val="0003672E"/>
    <w:rsid w:val="000536D0"/>
    <w:rsid w:val="00073E2E"/>
    <w:rsid w:val="00074304"/>
    <w:rsid w:val="00082698"/>
    <w:rsid w:val="00083067"/>
    <w:rsid w:val="000A7A46"/>
    <w:rsid w:val="001022FC"/>
    <w:rsid w:val="00105F21"/>
    <w:rsid w:val="001144BE"/>
    <w:rsid w:val="00116E3E"/>
    <w:rsid w:val="00130D64"/>
    <w:rsid w:val="00141C17"/>
    <w:rsid w:val="001524C1"/>
    <w:rsid w:val="001A086A"/>
    <w:rsid w:val="001D4C38"/>
    <w:rsid w:val="001D721E"/>
    <w:rsid w:val="001F0070"/>
    <w:rsid w:val="00203019"/>
    <w:rsid w:val="00203AE6"/>
    <w:rsid w:val="00210604"/>
    <w:rsid w:val="0021294E"/>
    <w:rsid w:val="00222041"/>
    <w:rsid w:val="00227A27"/>
    <w:rsid w:val="002A5212"/>
    <w:rsid w:val="002A52E3"/>
    <w:rsid w:val="002D2FAD"/>
    <w:rsid w:val="002E7087"/>
    <w:rsid w:val="002F1954"/>
    <w:rsid w:val="00303F5D"/>
    <w:rsid w:val="0030434C"/>
    <w:rsid w:val="00312781"/>
    <w:rsid w:val="00351B95"/>
    <w:rsid w:val="00353DB3"/>
    <w:rsid w:val="00360565"/>
    <w:rsid w:val="00394889"/>
    <w:rsid w:val="003B2A18"/>
    <w:rsid w:val="003B2DC2"/>
    <w:rsid w:val="003B7D44"/>
    <w:rsid w:val="003C39E3"/>
    <w:rsid w:val="003F18AB"/>
    <w:rsid w:val="00423F52"/>
    <w:rsid w:val="00447E0E"/>
    <w:rsid w:val="0045253A"/>
    <w:rsid w:val="00497287"/>
    <w:rsid w:val="004A3FF9"/>
    <w:rsid w:val="004A47B5"/>
    <w:rsid w:val="004C44E9"/>
    <w:rsid w:val="004F6E38"/>
    <w:rsid w:val="004F6E47"/>
    <w:rsid w:val="00510283"/>
    <w:rsid w:val="005110DE"/>
    <w:rsid w:val="0053597E"/>
    <w:rsid w:val="00592BF7"/>
    <w:rsid w:val="005A2D32"/>
    <w:rsid w:val="005B630F"/>
    <w:rsid w:val="005D2D35"/>
    <w:rsid w:val="005D7D4C"/>
    <w:rsid w:val="005F700F"/>
    <w:rsid w:val="006053A7"/>
    <w:rsid w:val="00612AAE"/>
    <w:rsid w:val="00680F98"/>
    <w:rsid w:val="006A2AAB"/>
    <w:rsid w:val="006D47CF"/>
    <w:rsid w:val="006F00F2"/>
    <w:rsid w:val="00782D13"/>
    <w:rsid w:val="00785913"/>
    <w:rsid w:val="00794847"/>
    <w:rsid w:val="00794AAC"/>
    <w:rsid w:val="007A5DA3"/>
    <w:rsid w:val="007B2973"/>
    <w:rsid w:val="008051E1"/>
    <w:rsid w:val="00830CF7"/>
    <w:rsid w:val="00840BD4"/>
    <w:rsid w:val="00852A8E"/>
    <w:rsid w:val="0087614F"/>
    <w:rsid w:val="008B680F"/>
    <w:rsid w:val="0093042F"/>
    <w:rsid w:val="00930C8B"/>
    <w:rsid w:val="00937927"/>
    <w:rsid w:val="00945C09"/>
    <w:rsid w:val="00963442"/>
    <w:rsid w:val="009C37D9"/>
    <w:rsid w:val="009E0D2E"/>
    <w:rsid w:val="00A161F0"/>
    <w:rsid w:val="00A32389"/>
    <w:rsid w:val="00A74327"/>
    <w:rsid w:val="00A8525D"/>
    <w:rsid w:val="00AB289A"/>
    <w:rsid w:val="00AC2215"/>
    <w:rsid w:val="00AD5089"/>
    <w:rsid w:val="00AD64B4"/>
    <w:rsid w:val="00AE0343"/>
    <w:rsid w:val="00AE7055"/>
    <w:rsid w:val="00B318FE"/>
    <w:rsid w:val="00B610BF"/>
    <w:rsid w:val="00B6478E"/>
    <w:rsid w:val="00B80452"/>
    <w:rsid w:val="00B94CCB"/>
    <w:rsid w:val="00BA71FF"/>
    <w:rsid w:val="00BC4BE2"/>
    <w:rsid w:val="00BC706A"/>
    <w:rsid w:val="00BC731D"/>
    <w:rsid w:val="00BD1479"/>
    <w:rsid w:val="00BF3161"/>
    <w:rsid w:val="00C22804"/>
    <w:rsid w:val="00C42793"/>
    <w:rsid w:val="00C65B4C"/>
    <w:rsid w:val="00C671A2"/>
    <w:rsid w:val="00C865F1"/>
    <w:rsid w:val="00CA285D"/>
    <w:rsid w:val="00CA55C5"/>
    <w:rsid w:val="00CF7B6A"/>
    <w:rsid w:val="00D0480B"/>
    <w:rsid w:val="00D45590"/>
    <w:rsid w:val="00D50A05"/>
    <w:rsid w:val="00D51B2A"/>
    <w:rsid w:val="00D748E1"/>
    <w:rsid w:val="00D8311A"/>
    <w:rsid w:val="00DA4C13"/>
    <w:rsid w:val="00DB38E2"/>
    <w:rsid w:val="00DC1969"/>
    <w:rsid w:val="00DE34E4"/>
    <w:rsid w:val="00DE4F87"/>
    <w:rsid w:val="00E05F1B"/>
    <w:rsid w:val="00E177F5"/>
    <w:rsid w:val="00E24B50"/>
    <w:rsid w:val="00E24BDB"/>
    <w:rsid w:val="00E30467"/>
    <w:rsid w:val="00E70280"/>
    <w:rsid w:val="00E90277"/>
    <w:rsid w:val="00EB4081"/>
    <w:rsid w:val="00EB59A0"/>
    <w:rsid w:val="00EC4A74"/>
    <w:rsid w:val="00ED32EB"/>
    <w:rsid w:val="00EF1BC5"/>
    <w:rsid w:val="00F12266"/>
    <w:rsid w:val="00F152DE"/>
    <w:rsid w:val="00F4432F"/>
    <w:rsid w:val="00F664BE"/>
    <w:rsid w:val="00F8468A"/>
    <w:rsid w:val="00F8578D"/>
    <w:rsid w:val="00F93D01"/>
    <w:rsid w:val="00FE085A"/>
    <w:rsid w:val="00FE24FF"/>
    <w:rsid w:val="00FF0DAC"/>
    <w:rsid w:val="01F9033F"/>
    <w:rsid w:val="0A207629"/>
    <w:rsid w:val="0B5103EF"/>
    <w:rsid w:val="0E4C4C26"/>
    <w:rsid w:val="17386DDC"/>
    <w:rsid w:val="1F5E509E"/>
    <w:rsid w:val="202604BC"/>
    <w:rsid w:val="227E270D"/>
    <w:rsid w:val="27440ABC"/>
    <w:rsid w:val="29EF35D2"/>
    <w:rsid w:val="2F733FFF"/>
    <w:rsid w:val="32721F9A"/>
    <w:rsid w:val="359014BF"/>
    <w:rsid w:val="3A324E4D"/>
    <w:rsid w:val="448C06A8"/>
    <w:rsid w:val="448F2060"/>
    <w:rsid w:val="480773F8"/>
    <w:rsid w:val="484E5465"/>
    <w:rsid w:val="53195C00"/>
    <w:rsid w:val="62B04D50"/>
    <w:rsid w:val="6C362BD2"/>
    <w:rsid w:val="6DA73B50"/>
    <w:rsid w:val="6E6627F7"/>
    <w:rsid w:val="748C5493"/>
    <w:rsid w:val="75835E36"/>
    <w:rsid w:val="79C57599"/>
    <w:rsid w:val="FCDE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600" w:lineRule="exact"/>
      <w:outlineLvl w:val="0"/>
    </w:pPr>
    <w:rPr>
      <w:rFonts w:eastAsia="方正小标宋简体"/>
      <w:b/>
      <w:bCs/>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1568</Words>
  <Characters>1596</Characters>
  <Lines>12</Lines>
  <Paragraphs>3</Paragraphs>
  <TotalTime>19</TotalTime>
  <ScaleCrop>false</ScaleCrop>
  <LinksUpToDate>false</LinksUpToDate>
  <CharactersWithSpaces>1658</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2025-03-17T23:37:00Z</dcterms:created>
  <dc:creator>sony</dc:creator>
  <cp:lastModifiedBy>JIA</cp:lastModifiedBy>
  <dcterms:modified xsi:type="dcterms:W3CDTF">2025-03-21T15:31:36Z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891EC76F5EDF41DB828056B7A389C791</vt:lpwstr>
  </property>
</Properties>
</file>