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156" w:beforeLines="50" w:after="156" w:afterLines="50" w:line="460" w:lineRule="exact"/>
        <w:jc w:val="both"/>
        <w:rPr>
          <w:rFonts w:ascii="仿宋_GB2312" w:eastAsia="仿宋_GB2312"/>
          <w:b w:val="0"/>
          <w:bCs w:val="0"/>
          <w:sz w:val="36"/>
          <w:szCs w:val="36"/>
        </w:rPr>
      </w:pPr>
      <w:bookmarkStart w:id="1" w:name="_GoBack"/>
      <w:r>
        <w:rPr>
          <w:rFonts w:hint="eastAsia" w:ascii="仿宋_GB2312" w:eastAsia="仿宋_GB2312"/>
          <w:b w:val="0"/>
          <w:bCs w:val="0"/>
          <w:sz w:val="36"/>
          <w:szCs w:val="36"/>
        </w:rPr>
        <w:t>附件2</w:t>
      </w:r>
    </w:p>
    <w:p>
      <w:pPr>
        <w:spacing w:before="156" w:beforeLines="50" w:after="156" w:afterLines="50" w:line="460" w:lineRule="exact"/>
        <w:jc w:val="center"/>
        <w:rPr>
          <w:rFonts w:ascii="方正小标宋简体" w:hAnsi="华文中宋" w:eastAsia="方正小标宋简体"/>
          <w:color w:val="000000"/>
          <w:sz w:val="36"/>
          <w:szCs w:val="36"/>
        </w:rPr>
      </w:pPr>
      <w:r>
        <w:rPr>
          <w:rFonts w:hint="eastAsia" w:ascii="方正小标宋简体" w:hAnsi="华文中宋" w:eastAsia="方正小标宋简体"/>
          <w:color w:val="000000"/>
          <w:sz w:val="36"/>
          <w:szCs w:val="36"/>
        </w:rPr>
        <w:t>2022—2023</w:t>
      </w:r>
      <w:r>
        <w:rPr>
          <w:rFonts w:ascii="方正小标宋简体" w:hAnsi="华文中宋" w:eastAsia="方正小标宋简体"/>
          <w:color w:val="000000"/>
          <w:sz w:val="36"/>
          <w:szCs w:val="36"/>
        </w:rPr>
        <w:t>学年</w:t>
      </w:r>
      <w:r>
        <w:rPr>
          <w:rFonts w:hint="eastAsia" w:ascii="方正小标宋简体" w:hAnsi="华文中宋" w:eastAsia="方正小标宋简体"/>
          <w:color w:val="000000"/>
          <w:sz w:val="36"/>
          <w:szCs w:val="36"/>
        </w:rPr>
        <w:t>“红旗分团委”评选细则</w:t>
      </w:r>
    </w:p>
    <w:bookmarkEnd w:id="1"/>
    <w:p>
      <w:pPr>
        <w:spacing w:before="78" w:beforeLines="25" w:after="78" w:afterLines="25" w:line="460" w:lineRule="exact"/>
        <w:ind w:firstLine="640" w:firstLineChars="200"/>
        <w:rPr>
          <w:rFonts w:ascii="黑体" w:hAnsi="黑体" w:eastAsia="黑体"/>
          <w:b/>
          <w:color w:val="000000"/>
          <w:sz w:val="32"/>
          <w:szCs w:val="32"/>
        </w:rPr>
      </w:pPr>
      <w:r>
        <w:rPr>
          <w:rFonts w:hint="eastAsia" w:ascii="黑体" w:hAnsi="黑体" w:eastAsia="黑体"/>
          <w:b/>
          <w:color w:val="000000"/>
          <w:sz w:val="32"/>
          <w:szCs w:val="32"/>
        </w:rPr>
        <w:t>第一条  总则</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校团委依据分团委评比的综合得分从高到低评选6个红旗分团委。各分团委综合得分由月度考核平均得分、书面述职报告得分、线上展示得分、学院党委评价得分、青年评议得分五部分加权构成。计算公式为：</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综合得分=月度考核平均得分（百分制）×50%＋线下述职得分（百分制）×</w:t>
      </w:r>
      <w:r>
        <w:rPr>
          <w:rFonts w:ascii="仿宋_GB2312" w:hAnsi="仿宋" w:eastAsia="仿宋_GB2312"/>
          <w:color w:val="000000"/>
          <w:sz w:val="28"/>
          <w:szCs w:val="28"/>
        </w:rPr>
        <w:t>20</w:t>
      </w:r>
      <w:r>
        <w:rPr>
          <w:rFonts w:hint="eastAsia" w:ascii="仿宋_GB2312" w:hAnsi="仿宋" w:eastAsia="仿宋_GB2312"/>
          <w:color w:val="000000"/>
          <w:sz w:val="28"/>
          <w:szCs w:val="28"/>
        </w:rPr>
        <w:t>%+学院党委评价（百分制）×10%＋青年评议（百分制）×20%。</w:t>
      </w:r>
    </w:p>
    <w:p>
      <w:pPr>
        <w:spacing w:before="78" w:beforeLines="25" w:after="78" w:afterLines="25" w:line="460" w:lineRule="exact"/>
        <w:ind w:firstLine="640" w:firstLineChars="200"/>
        <w:rPr>
          <w:rFonts w:ascii="黑体" w:hAnsi="黑体" w:eastAsia="黑体"/>
          <w:b/>
          <w:color w:val="000000"/>
          <w:sz w:val="32"/>
          <w:szCs w:val="32"/>
        </w:rPr>
      </w:pPr>
      <w:r>
        <w:rPr>
          <w:rFonts w:hint="eastAsia" w:ascii="黑体" w:hAnsi="黑体" w:eastAsia="黑体"/>
          <w:b/>
          <w:color w:val="000000"/>
          <w:sz w:val="32"/>
          <w:szCs w:val="32"/>
        </w:rPr>
        <w:t>第二条  日常工作考核</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校团委依据《共青团中南财经政法大学委员会分团委工作考核办法》及相关规定对各院进行日常考核。日常考核以月为单位，由校团委根据各院提交的材料和日常工作开展的情况进行考核计分。</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日常考核量化评分由2022—2023学年共计三次月度（季度）考核平均计算得出：</w:t>
      </w:r>
    </w:p>
    <w:p>
      <w:pPr>
        <w:spacing w:line="460" w:lineRule="exact"/>
        <w:ind w:firstLine="560" w:firstLineChars="200"/>
        <w:rPr>
          <w:rFonts w:ascii="仿宋_GB2312" w:hAnsi="仿宋" w:eastAsia="仿宋_GB2312"/>
          <w:color w:val="000000"/>
          <w:sz w:val="28"/>
          <w:szCs w:val="28"/>
        </w:rPr>
      </w:pPr>
      <w:r>
        <w:rPr>
          <w:rFonts w:ascii="仿宋_GB2312" w:hAnsi="仿宋" w:eastAsia="仿宋_GB2312"/>
          <w:color w:val="000000"/>
          <w:sz w:val="28"/>
          <w:szCs w:val="28"/>
        </w:rPr>
        <w:t>1</w:t>
      </w:r>
      <w:r>
        <w:rPr>
          <w:rFonts w:hint="eastAsia" w:ascii="仿宋_GB2312" w:hAnsi="仿宋" w:eastAsia="仿宋_GB2312"/>
          <w:color w:val="000000"/>
          <w:sz w:val="28"/>
          <w:szCs w:val="28"/>
        </w:rPr>
        <w:t>.202</w:t>
      </w:r>
      <w:r>
        <w:rPr>
          <w:rFonts w:ascii="仿宋_GB2312" w:hAnsi="仿宋" w:eastAsia="仿宋_GB2312"/>
          <w:color w:val="000000"/>
          <w:sz w:val="28"/>
          <w:szCs w:val="28"/>
        </w:rPr>
        <w:t>1</w:t>
      </w:r>
      <w:r>
        <w:rPr>
          <w:rFonts w:hint="eastAsia" w:ascii="仿宋_GB2312" w:hAnsi="仿宋" w:eastAsia="仿宋_GB2312"/>
          <w:color w:val="000000"/>
          <w:sz w:val="28"/>
          <w:szCs w:val="28"/>
        </w:rPr>
        <w:t>—202</w:t>
      </w:r>
      <w:r>
        <w:rPr>
          <w:rFonts w:ascii="仿宋_GB2312" w:hAnsi="仿宋" w:eastAsia="仿宋_GB2312"/>
          <w:color w:val="000000"/>
          <w:sz w:val="28"/>
          <w:szCs w:val="28"/>
        </w:rPr>
        <w:t>2</w:t>
      </w:r>
      <w:r>
        <w:rPr>
          <w:rFonts w:hint="eastAsia" w:ascii="仿宋_GB2312" w:hAnsi="仿宋" w:eastAsia="仿宋_GB2312"/>
          <w:color w:val="000000"/>
          <w:sz w:val="28"/>
          <w:szCs w:val="28"/>
        </w:rPr>
        <w:t>学年</w:t>
      </w:r>
      <w:r>
        <w:rPr>
          <w:rFonts w:ascii="仿宋_GB2312" w:hAnsi="仿宋" w:eastAsia="仿宋_GB2312"/>
          <w:color w:val="000000"/>
          <w:sz w:val="28"/>
          <w:szCs w:val="28"/>
        </w:rPr>
        <w:t>5</w:t>
      </w:r>
      <w:r>
        <w:rPr>
          <w:rFonts w:hint="eastAsia" w:ascii="仿宋_GB2312" w:hAnsi="仿宋" w:eastAsia="仿宋_GB2312"/>
          <w:color w:val="000000"/>
          <w:sz w:val="28"/>
          <w:szCs w:val="28"/>
        </w:rPr>
        <w:t>月、</w:t>
      </w:r>
      <w:r>
        <w:rPr>
          <w:rFonts w:ascii="仿宋_GB2312" w:hAnsi="仿宋" w:eastAsia="仿宋_GB2312"/>
          <w:color w:val="000000"/>
          <w:sz w:val="28"/>
          <w:szCs w:val="28"/>
        </w:rPr>
        <w:t>6</w:t>
      </w:r>
      <w:r>
        <w:rPr>
          <w:rFonts w:hint="eastAsia" w:ascii="仿宋_GB2312" w:hAnsi="仿宋" w:eastAsia="仿宋_GB2312"/>
          <w:color w:val="000000"/>
          <w:sz w:val="28"/>
          <w:szCs w:val="28"/>
        </w:rPr>
        <w:t>月月度考核；</w:t>
      </w:r>
    </w:p>
    <w:p>
      <w:pPr>
        <w:spacing w:line="460" w:lineRule="exact"/>
        <w:ind w:firstLine="560" w:firstLineChars="200"/>
        <w:rPr>
          <w:rFonts w:ascii="仿宋_GB2312" w:hAnsi="仿宋" w:eastAsia="仿宋_GB2312"/>
          <w:color w:val="000000"/>
          <w:sz w:val="28"/>
          <w:szCs w:val="28"/>
        </w:rPr>
      </w:pPr>
      <w:r>
        <w:rPr>
          <w:rFonts w:ascii="仿宋_GB2312" w:hAnsi="仿宋" w:eastAsia="仿宋_GB2312"/>
          <w:color w:val="000000"/>
          <w:sz w:val="28"/>
          <w:szCs w:val="28"/>
        </w:rPr>
        <w:t>2</w:t>
      </w:r>
      <w:r>
        <w:rPr>
          <w:rFonts w:hint="eastAsia" w:ascii="仿宋_GB2312" w:hAnsi="仿宋" w:eastAsia="仿宋_GB2312"/>
          <w:color w:val="000000"/>
          <w:sz w:val="28"/>
          <w:szCs w:val="28"/>
        </w:rPr>
        <w:t>.2022—2023学年9月、10月、11月月度考核；</w:t>
      </w:r>
    </w:p>
    <w:p>
      <w:pPr>
        <w:spacing w:line="460" w:lineRule="exact"/>
        <w:ind w:firstLine="560" w:firstLineChars="200"/>
        <w:rPr>
          <w:rFonts w:ascii="仿宋_GB2312" w:hAnsi="仿宋" w:eastAsia="仿宋_GB2312"/>
          <w:color w:val="000000"/>
          <w:sz w:val="28"/>
          <w:szCs w:val="28"/>
        </w:rPr>
      </w:pPr>
      <w:r>
        <w:rPr>
          <w:rFonts w:ascii="仿宋_GB2312" w:hAnsi="仿宋" w:eastAsia="仿宋_GB2312"/>
          <w:color w:val="000000"/>
          <w:sz w:val="28"/>
          <w:szCs w:val="28"/>
        </w:rPr>
        <w:t>3.</w:t>
      </w:r>
      <w:r>
        <w:rPr>
          <w:rFonts w:hint="eastAsia" w:ascii="仿宋_GB2312" w:hAnsi="仿宋" w:eastAsia="仿宋_GB2312"/>
          <w:color w:val="000000"/>
          <w:sz w:val="28"/>
          <w:szCs w:val="28"/>
        </w:rPr>
        <w:t>2022—2023学年2月、3月、4月月度考核。</w:t>
      </w:r>
    </w:p>
    <w:p>
      <w:pPr>
        <w:spacing w:before="78" w:beforeLines="25" w:after="78" w:afterLines="25" w:line="460" w:lineRule="exact"/>
        <w:ind w:firstLine="640" w:firstLineChars="200"/>
        <w:rPr>
          <w:rFonts w:ascii="黑体" w:hAnsi="黑体" w:eastAsia="黑体"/>
          <w:b/>
          <w:color w:val="000000"/>
          <w:sz w:val="32"/>
          <w:szCs w:val="32"/>
        </w:rPr>
      </w:pPr>
      <w:r>
        <w:rPr>
          <w:rFonts w:hint="eastAsia" w:ascii="黑体" w:hAnsi="黑体" w:eastAsia="黑体"/>
          <w:b/>
          <w:color w:val="000000"/>
          <w:sz w:val="32"/>
          <w:szCs w:val="32"/>
        </w:rPr>
        <w:t>第三条  考核标准</w:t>
      </w:r>
    </w:p>
    <w:p>
      <w:pPr>
        <w:spacing w:line="460" w:lineRule="exact"/>
        <w:ind w:firstLine="600" w:firstLineChars="200"/>
        <w:rPr>
          <w:rFonts w:ascii="楷体_GB2312" w:eastAsia="楷体_GB2312" w:cs="仿宋_GB2312"/>
          <w:b/>
          <w:sz w:val="30"/>
          <w:szCs w:val="30"/>
        </w:rPr>
      </w:pPr>
      <w:r>
        <w:rPr>
          <w:rFonts w:hint="eastAsia" w:ascii="楷体_GB2312" w:eastAsia="楷体_GB2312" w:cs="仿宋_GB2312"/>
          <w:b/>
          <w:sz w:val="30"/>
          <w:szCs w:val="30"/>
        </w:rPr>
        <w:t>一、政治建设</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1.学院团委深入学习贯彻党的二十大精神，深刻领悟“两个确立”的决定性意义，不断增强“四个意识”、坚定“四个自信”、做到“两个维护”。积极弘扬社会主义核心价值观，坚持围绕中心、服务大局，坚定“永远跟党走”的崇高信念，坚决把准团学工作的正确政治方向，增强团的政治性、先进性和群众性，加强对团员的理想信念和国情教育，有效履行引领凝聚青年、组织动员青年、联系服务青年的职责，团结引领广大青年为坚持和完善中国特色社会主义制度、推进国家治理体系和治理能力现代化作出贡献。</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2.学院团委依托团学工作阵地，结合工作实际，扎实做好团学骨干“分层次一体化”培养工作，重点通过“青马班”“团校”等，增强共青团员意识，提升团学骨干思想政治素质；积极打造“学习型”团学组织，引导团员青年将理论学习与社会实践相结合，推动学习到基层、学习常态化、学习有成效、学习有创新、学习有成果，提升团组织的影响力、战斗力、凝聚力和号召力。</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3</w:t>
      </w:r>
      <w:r>
        <w:rPr>
          <w:rFonts w:ascii="仿宋_GB2312" w:hAnsi="仿宋" w:eastAsia="仿宋_GB2312"/>
          <w:color w:val="000000"/>
          <w:sz w:val="28"/>
          <w:szCs w:val="28"/>
        </w:rPr>
        <w:t>.学院团委</w:t>
      </w:r>
      <w:r>
        <w:rPr>
          <w:rFonts w:hint="eastAsia" w:ascii="仿宋_GB2312" w:hAnsi="仿宋" w:eastAsia="仿宋_GB2312"/>
          <w:color w:val="000000"/>
          <w:sz w:val="28"/>
          <w:szCs w:val="28"/>
        </w:rPr>
        <w:t>立足第二个百年奋斗目标，组织动员团员青年投身建成富强民主文明和谐美丽的社会主义现代化强国；深入开展“学习二十大、永远跟党走、奋进新征程”系列活动，引导团员青年学习宣传贯彻党的二十大精神，牢固树立爱国热情与爱党决心，提升团员青年对中国共产党的认同感、向心力。</w:t>
      </w:r>
    </w:p>
    <w:p>
      <w:pPr>
        <w:spacing w:line="460" w:lineRule="exact"/>
        <w:ind w:firstLine="600" w:firstLineChars="200"/>
        <w:rPr>
          <w:rFonts w:ascii="楷体_GB2312" w:eastAsia="楷体_GB2312" w:cs="仿宋_GB2312"/>
          <w:b/>
          <w:sz w:val="30"/>
          <w:szCs w:val="30"/>
        </w:rPr>
      </w:pPr>
      <w:r>
        <w:rPr>
          <w:rFonts w:hint="eastAsia" w:ascii="楷体_GB2312" w:eastAsia="楷体_GB2312" w:cs="仿宋_GB2312"/>
          <w:b/>
          <w:sz w:val="30"/>
          <w:szCs w:val="30"/>
        </w:rPr>
        <w:t>二、宣传思想建设</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1.学院团委聚焦思想政治引领和价值引领的主业主责，以学习宣传贯彻</w:t>
      </w:r>
      <w:r>
        <w:rPr>
          <w:rFonts w:hint="eastAsia" w:ascii="仿宋_GB2312" w:hAnsi="仿宋" w:eastAsia="仿宋_GB2312"/>
          <w:color w:val="000000"/>
          <w:sz w:val="28"/>
          <w:szCs w:val="28"/>
          <w:lang w:eastAsia="zh-CN"/>
        </w:rPr>
        <w:t>习近平新时代中国特色社会主义</w:t>
      </w:r>
      <w:r>
        <w:rPr>
          <w:rFonts w:hint="eastAsia" w:ascii="仿宋_GB2312" w:hAnsi="仿宋" w:eastAsia="仿宋_GB2312"/>
          <w:color w:val="000000"/>
          <w:sz w:val="28"/>
          <w:szCs w:val="28"/>
        </w:rPr>
        <w:t>思想、习近平总书记系列重要讲话精神、培育和践行社会主义核心价值观为主要内容，结合学院工作实际，利用团属宣传思想阵地，围绕“</w:t>
      </w:r>
      <w:bookmarkStart w:id="0" w:name="_Hlk128499190"/>
      <w:r>
        <w:rPr>
          <w:rFonts w:hint="eastAsia" w:ascii="仿宋_GB2312" w:hAnsi="仿宋" w:eastAsia="仿宋_GB2312"/>
          <w:color w:val="000000"/>
          <w:sz w:val="28"/>
          <w:szCs w:val="28"/>
        </w:rPr>
        <w:t>庆祝中国共青团成立100周年”“学习二十大、永远跟党走、奋进新征程”</w:t>
      </w:r>
      <w:bookmarkEnd w:id="0"/>
      <w:r>
        <w:rPr>
          <w:rFonts w:hint="eastAsia" w:ascii="仿宋_GB2312" w:hAnsi="仿宋" w:eastAsia="仿宋_GB2312"/>
          <w:color w:val="000000"/>
          <w:sz w:val="28"/>
          <w:szCs w:val="28"/>
        </w:rPr>
        <w:t>系列学习活动等重点及专项工作，持续创新开展“青年大学习”“四进四信”“百生讲坛”“三下乡”社会实践等主题教育实践活动；抓住重要节点和历史契机，开展线上线下的党史国情、革命传统、形势政策、校史校情等宣传教育活动，在纪念活动中有效引领青年学生</w:t>
      </w:r>
      <w:r>
        <w:rPr>
          <w:rFonts w:hint="eastAsia" w:ascii="仿宋_GB2312" w:hAnsi="仿宋" w:eastAsia="仿宋_GB2312"/>
          <w:color w:val="000000"/>
          <w:sz w:val="28"/>
          <w:szCs w:val="28"/>
          <w:lang w:val="en-US" w:eastAsia="zh-CN"/>
        </w:rPr>
        <w:t>坚定</w:t>
      </w:r>
      <w:r>
        <w:rPr>
          <w:rFonts w:hint="eastAsia" w:ascii="仿宋_GB2312" w:hAnsi="仿宋" w:eastAsia="仿宋_GB2312"/>
          <w:color w:val="000000"/>
          <w:sz w:val="28"/>
          <w:szCs w:val="28"/>
        </w:rPr>
        <w:t>“四个自信”和“四个正确认识”。</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2.学院团委加强“网上共青团”建设，提升新媒体运用水平，完善新闻宣传工作机制，强化新闻宣传舆论引导能力，激发团属新媒体宣传活力，规范管理学院团学组织宣传平台，积极推送基层团学组织典型经验和先进做法；创新升级团学活动互动参与形式，通过青年学生乐于接受的新媒体宣传途径，将“中国梦”教育、社会主义核心价值观、新时代中国青年的使命与担当等深刻内涵和实践要求有效融入到各类团学活动中；在思想宣传工作中充分发挥学院青年教师、专兼职团干部、团学骨干思想领袖、自媒体网络意见领袖、网络文明志愿者等多方优质资源和先进力量。</w:t>
      </w:r>
    </w:p>
    <w:p>
      <w:pPr>
        <w:spacing w:line="460" w:lineRule="exact"/>
        <w:ind w:firstLine="600" w:firstLineChars="200"/>
        <w:rPr>
          <w:rFonts w:ascii="楷体_GB2312" w:eastAsia="楷体_GB2312" w:cs="仿宋_GB2312"/>
          <w:b/>
          <w:sz w:val="30"/>
          <w:szCs w:val="30"/>
        </w:rPr>
      </w:pPr>
      <w:r>
        <w:rPr>
          <w:rFonts w:hint="eastAsia" w:ascii="楷体_GB2312" w:eastAsia="楷体_GB2312" w:cs="仿宋_GB2312"/>
          <w:b/>
          <w:sz w:val="30"/>
          <w:szCs w:val="30"/>
        </w:rPr>
        <w:t>三、基层组织建设</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1.学院团委加强对院级学生会、研究生会、志愿者组织及挂靠学生社团的指导，各级团学组织机构健全，部门设置及职责分工科学合理，学生干部职数有效精简，各项工作有章可循、有据可依。</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2.学院团委重视基层基础工作，全面掌握团学工作和组织台账，有效推动基层团支部活力提升，积极开展团的组织生活，严格执行“三会两制一课”“班团一体化”“团组织推优入党”等团的各项组织制度，探索创新团建方式，扩大工作的有效覆盖面，有效提升“基层活跃度”和“青年满意度”。</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3.学院团委注重创新工作方式和运转机制，有效发挥联系、服务、引领青年的桥梁纽带作用。团学组织开展活动要请团员青年一起设计，部署任务要请团员青年一起参与，推进工作要充分运用团员青年喜闻乐见的方式和手段，表彰先进、考核工作要让团员青年一起评议；常态化开展“团学干部联系青年”活动，及时有效反映团员青年呼声、回应团员青年诉求、维护团员青年权益，做广大团员青年信得过、靠得住、离不开的贴心人。</w:t>
      </w:r>
    </w:p>
    <w:p>
      <w:pPr>
        <w:spacing w:line="460" w:lineRule="exact"/>
        <w:ind w:firstLine="600" w:firstLineChars="200"/>
        <w:rPr>
          <w:rFonts w:ascii="楷体_GB2312" w:eastAsia="楷体_GB2312" w:cs="仿宋_GB2312"/>
          <w:b/>
          <w:sz w:val="30"/>
          <w:szCs w:val="30"/>
        </w:rPr>
      </w:pPr>
      <w:r>
        <w:rPr>
          <w:rFonts w:hint="eastAsia" w:ascii="楷体_GB2312" w:eastAsia="楷体_GB2312" w:cs="仿宋_GB2312"/>
          <w:b/>
          <w:sz w:val="30"/>
          <w:szCs w:val="30"/>
        </w:rPr>
        <w:t>四、工作改革创新</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1.学院团委坚持问题导向，牢牢把握“保持和增强政治性、先进性、群众性”的目标要求，有力推动团学改革任务的进展，在完成改革试点工作项目的基础上，总结形成改革试点工作的先进经验和推广成果；深化推进改革再出发，坚持问题导向，做到短期问题即知即改、常规问题立行立改，确保各项改革举措落到实处，保障改革效果从“形式”走向“实质”。</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重点落实上级关于共青团、学生会组织的改革任务，改革关键举措达到指标要求。规范加强学院对挂靠社团的指导力度，配合做好学生社团组织建设、指导老师选聘考核、活动管理等工作。</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2.学院团委鼓励团员青年结合社会和成长需求，积极参加校内外社会实践和志愿服务活动，培养团员青年的社会责任感和校园主人翁意识，加强学院社会实践、志愿服务和创新创业基地建设，形成有学院特色的实践育人项目，探索多元化实践育人体系，通过“三下乡”社会实践、志愿服务和创新创业实践，提升团员青年了解国情、认识社会、服务基层的能力。</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3.学院团委根据上级团学组织要求，积极发挥协同育人工作职能，积极创新开展思想品行、人文素养、创新创业、社会实践、志愿公益、心理健康、文体艺术、劳动育人等方面的第二课堂活动，培养德智体美劳全面发展的社会主义建设者和接班人。</w:t>
      </w:r>
    </w:p>
    <w:p>
      <w:pPr>
        <w:spacing w:line="460" w:lineRule="exact"/>
        <w:ind w:firstLine="600" w:firstLineChars="200"/>
        <w:rPr>
          <w:rFonts w:ascii="楷体_GB2312" w:eastAsia="楷体_GB2312" w:cs="仿宋_GB2312"/>
          <w:b/>
          <w:sz w:val="30"/>
          <w:szCs w:val="30"/>
        </w:rPr>
      </w:pPr>
      <w:r>
        <w:rPr>
          <w:rFonts w:hint="eastAsia" w:ascii="楷体_GB2312" w:eastAsia="楷体_GB2312" w:cs="仿宋_GB2312"/>
          <w:b/>
          <w:sz w:val="30"/>
          <w:szCs w:val="30"/>
        </w:rPr>
        <w:t>五．作风建设</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1.学院团委严格管理团员队伍，把好团员“入口关”“政治关”，严格入团标准，规范团员发展和教育管理工作，增强团员意识教育，加强共青团员身份认同感，注重加强团员教育培训工作，实现团员发展和教育管理有序化、体系化、制度化，利用“智慧团建”系统，逐步实现基层团务网上管理、工作部署网上推进，不断提升团员管理规范化、制度化、信息化水平。</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2.学院团委严格管理团学干部队伍，未出现团学干部思想政治表现和工作表现“一票否决”情况，积极教育引导学院各级团学干部坚定理想信念、端正工作态度、提高工作能力、锤炼优良作风、全心全意服务团员青年；积极参与并认真组织上级团学组织部署开展的各项工作、会议和活动，切实履行工作责任制，有效发挥团学干部的模范带头作用。</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3.学院团委严格管理各级团学组织，切实克服“机关化、行政化、贵族化、娱乐化”现象，把组织建设作为固本培元的治本之策，使各级团学组织各负其责、履职尽责，焕发组织的生机和活力，把组织建设的更加坚强有力、更加充满活力，更好发挥党的助手和后备军作用。</w:t>
      </w:r>
    </w:p>
    <w:p>
      <w:pPr>
        <w:spacing w:line="460" w:lineRule="exact"/>
        <w:ind w:firstLine="600" w:firstLineChars="200"/>
        <w:rPr>
          <w:rFonts w:ascii="楷体_GB2312" w:eastAsia="楷体_GB2312" w:cs="仿宋_GB2312"/>
          <w:b/>
          <w:sz w:val="30"/>
          <w:szCs w:val="30"/>
        </w:rPr>
      </w:pPr>
      <w:r>
        <w:rPr>
          <w:rFonts w:hint="eastAsia" w:ascii="楷体_GB2312" w:eastAsia="楷体_GB2312" w:cs="仿宋_GB2312"/>
          <w:b/>
          <w:sz w:val="30"/>
          <w:szCs w:val="30"/>
        </w:rPr>
        <w:t>六．亮点工作</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团学工作品牌创建、“五育”并举服务青年成长发展、围绕中心服务大局贡献度等方面的特色亮点及其成效。</w:t>
      </w:r>
    </w:p>
    <w:p>
      <w:pPr>
        <w:spacing w:line="460" w:lineRule="exact"/>
        <w:ind w:firstLine="600" w:firstLineChars="200"/>
        <w:rPr>
          <w:rFonts w:ascii="楷体_GB2312" w:eastAsia="楷体_GB2312" w:cs="仿宋_GB2312"/>
          <w:b/>
          <w:sz w:val="30"/>
          <w:szCs w:val="30"/>
        </w:rPr>
      </w:pPr>
      <w:r>
        <w:rPr>
          <w:rFonts w:hint="eastAsia" w:ascii="楷体_GB2312" w:eastAsia="楷体_GB2312" w:cs="仿宋_GB2312"/>
          <w:b/>
          <w:sz w:val="30"/>
          <w:szCs w:val="30"/>
        </w:rPr>
        <w:t>七．附加项（酌情加分）</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1.学院团委在考核期间因团学工作实绩荣获上级教育主管部门或上级团学组织表彰。</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2.学院团委在考核期间因团学工作实绩被各级媒体关注报道，产生积极社会影响。</w:t>
      </w:r>
    </w:p>
    <w:p>
      <w:pPr>
        <w:spacing w:before="156" w:beforeLines="50" w:after="156" w:afterLines="50" w:line="460" w:lineRule="exact"/>
        <w:jc w:val="center"/>
        <w:rPr>
          <w:rFonts w:ascii="方正小标宋简体" w:hAnsi="华文中宋" w:eastAsia="方正小标宋简体"/>
          <w:color w:val="000000"/>
          <w:sz w:val="36"/>
          <w:szCs w:val="36"/>
        </w:rPr>
      </w:pPr>
      <w:r>
        <w:rPr>
          <w:rFonts w:hint="eastAsia" w:ascii="方正小标宋简体" w:hAnsi="华文中宋" w:eastAsia="方正小标宋简体"/>
          <w:color w:val="000000"/>
          <w:sz w:val="36"/>
          <w:szCs w:val="36"/>
        </w:rPr>
        <w:t>各学院青年评议人数要求（学生总数30</w:t>
      </w:r>
      <w:r>
        <w:rPr>
          <w:rFonts w:hint="eastAsia" w:ascii="华文中宋" w:hAnsi="华文中宋" w:eastAsia="华文中宋"/>
          <w:color w:val="000000"/>
          <w:sz w:val="36"/>
          <w:szCs w:val="36"/>
        </w:rPr>
        <w:t>%</w:t>
      </w:r>
      <w:r>
        <w:rPr>
          <w:rFonts w:hint="eastAsia" w:ascii="方正小标宋简体" w:hAnsi="华文中宋" w:eastAsia="方正小标宋简体"/>
          <w:color w:val="000000"/>
          <w:sz w:val="36"/>
          <w:szCs w:val="36"/>
        </w:rPr>
        <w:t>以上）</w:t>
      </w:r>
    </w:p>
    <w:tbl>
      <w:tblPr>
        <w:tblStyle w:val="7"/>
        <w:tblW w:w="8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7"/>
        <w:gridCol w:w="1680"/>
        <w:gridCol w:w="2835"/>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7" w:type="dxa"/>
            <w:vAlign w:val="center"/>
          </w:tcPr>
          <w:p>
            <w:pPr>
              <w:tabs>
                <w:tab w:val="left" w:pos="8312"/>
              </w:tabs>
              <w:spacing w:line="460" w:lineRule="exact"/>
              <w:jc w:val="center"/>
              <w:rPr>
                <w:rFonts w:ascii="黑体" w:hAnsi="黑体" w:eastAsia="黑体"/>
                <w:color w:val="000000"/>
                <w:sz w:val="30"/>
                <w:szCs w:val="30"/>
              </w:rPr>
            </w:pPr>
            <w:r>
              <w:rPr>
                <w:rFonts w:hint="eastAsia" w:ascii="黑体" w:hAnsi="黑体" w:eastAsia="黑体"/>
                <w:color w:val="000000"/>
                <w:sz w:val="30"/>
                <w:szCs w:val="30"/>
              </w:rPr>
              <w:t xml:space="preserve">学 </w:t>
            </w:r>
            <w:r>
              <w:rPr>
                <w:rFonts w:ascii="黑体" w:hAnsi="黑体" w:eastAsia="黑体"/>
                <w:color w:val="000000"/>
                <w:sz w:val="30"/>
                <w:szCs w:val="30"/>
              </w:rPr>
              <w:t xml:space="preserve"> </w:t>
            </w:r>
            <w:r>
              <w:rPr>
                <w:rFonts w:hint="eastAsia" w:ascii="黑体" w:hAnsi="黑体" w:eastAsia="黑体"/>
                <w:color w:val="000000"/>
                <w:sz w:val="30"/>
                <w:szCs w:val="30"/>
              </w:rPr>
              <w:t>院</w:t>
            </w:r>
          </w:p>
        </w:tc>
        <w:tc>
          <w:tcPr>
            <w:tcW w:w="1680" w:type="dxa"/>
            <w:vAlign w:val="center"/>
          </w:tcPr>
          <w:p>
            <w:pPr>
              <w:tabs>
                <w:tab w:val="left" w:pos="8312"/>
              </w:tabs>
              <w:spacing w:line="460" w:lineRule="exact"/>
              <w:jc w:val="center"/>
              <w:rPr>
                <w:rFonts w:ascii="黑体" w:hAnsi="黑体" w:eastAsia="黑体"/>
                <w:color w:val="000000"/>
                <w:sz w:val="30"/>
                <w:szCs w:val="30"/>
              </w:rPr>
            </w:pPr>
            <w:r>
              <w:rPr>
                <w:rFonts w:hint="eastAsia" w:ascii="黑体" w:hAnsi="黑体" w:eastAsia="黑体"/>
                <w:color w:val="000000"/>
                <w:sz w:val="30"/>
                <w:szCs w:val="30"/>
              </w:rPr>
              <w:t>人数要求</w:t>
            </w:r>
          </w:p>
          <w:p>
            <w:pPr>
              <w:tabs>
                <w:tab w:val="left" w:pos="8312"/>
              </w:tabs>
              <w:spacing w:line="460" w:lineRule="exact"/>
              <w:jc w:val="center"/>
              <w:rPr>
                <w:rFonts w:ascii="黑体" w:hAnsi="黑体" w:eastAsia="黑体"/>
                <w:color w:val="000000"/>
                <w:sz w:val="30"/>
                <w:szCs w:val="30"/>
              </w:rPr>
            </w:pPr>
            <w:r>
              <w:rPr>
                <w:rFonts w:hint="eastAsia" w:ascii="黑体" w:hAnsi="黑体" w:eastAsia="黑体"/>
                <w:color w:val="000000"/>
                <w:sz w:val="30"/>
                <w:szCs w:val="30"/>
              </w:rPr>
              <w:t>（不少于）</w:t>
            </w:r>
          </w:p>
        </w:tc>
        <w:tc>
          <w:tcPr>
            <w:tcW w:w="2835" w:type="dxa"/>
            <w:vAlign w:val="center"/>
          </w:tcPr>
          <w:p>
            <w:pPr>
              <w:tabs>
                <w:tab w:val="left" w:pos="8312"/>
              </w:tabs>
              <w:spacing w:line="460" w:lineRule="exact"/>
              <w:jc w:val="center"/>
              <w:rPr>
                <w:rFonts w:ascii="黑体" w:hAnsi="黑体" w:eastAsia="黑体"/>
                <w:color w:val="000000"/>
                <w:sz w:val="30"/>
                <w:szCs w:val="30"/>
              </w:rPr>
            </w:pPr>
            <w:r>
              <w:rPr>
                <w:rFonts w:hint="eastAsia" w:ascii="黑体" w:hAnsi="黑体" w:eastAsia="黑体"/>
                <w:color w:val="000000"/>
                <w:sz w:val="30"/>
                <w:szCs w:val="30"/>
              </w:rPr>
              <w:t xml:space="preserve">学 </w:t>
            </w:r>
            <w:r>
              <w:rPr>
                <w:rFonts w:ascii="黑体" w:hAnsi="黑体" w:eastAsia="黑体"/>
                <w:color w:val="000000"/>
                <w:sz w:val="30"/>
                <w:szCs w:val="30"/>
              </w:rPr>
              <w:t xml:space="preserve"> </w:t>
            </w:r>
            <w:r>
              <w:rPr>
                <w:rFonts w:hint="eastAsia" w:ascii="黑体" w:hAnsi="黑体" w:eastAsia="黑体"/>
                <w:color w:val="000000"/>
                <w:sz w:val="30"/>
                <w:szCs w:val="30"/>
              </w:rPr>
              <w:t>院</w:t>
            </w:r>
          </w:p>
        </w:tc>
        <w:tc>
          <w:tcPr>
            <w:tcW w:w="1598" w:type="dxa"/>
            <w:vAlign w:val="center"/>
          </w:tcPr>
          <w:p>
            <w:pPr>
              <w:tabs>
                <w:tab w:val="left" w:pos="8312"/>
              </w:tabs>
              <w:spacing w:line="460" w:lineRule="exact"/>
              <w:jc w:val="center"/>
              <w:rPr>
                <w:rFonts w:ascii="黑体" w:hAnsi="黑体" w:eastAsia="黑体"/>
                <w:color w:val="000000"/>
                <w:sz w:val="30"/>
                <w:szCs w:val="30"/>
              </w:rPr>
            </w:pPr>
            <w:r>
              <w:rPr>
                <w:rFonts w:hint="eastAsia" w:ascii="黑体" w:hAnsi="黑体" w:eastAsia="黑体"/>
                <w:color w:val="000000"/>
                <w:sz w:val="30"/>
                <w:szCs w:val="30"/>
              </w:rPr>
              <w:t>人数要求</w:t>
            </w:r>
          </w:p>
          <w:p>
            <w:pPr>
              <w:tabs>
                <w:tab w:val="left" w:pos="8312"/>
              </w:tabs>
              <w:spacing w:line="460" w:lineRule="exact"/>
              <w:jc w:val="center"/>
              <w:rPr>
                <w:rFonts w:ascii="黑体" w:hAnsi="黑体" w:eastAsia="黑体"/>
                <w:color w:val="000000"/>
                <w:sz w:val="30"/>
                <w:szCs w:val="30"/>
              </w:rPr>
            </w:pPr>
            <w:r>
              <w:rPr>
                <w:rFonts w:hint="eastAsia" w:ascii="黑体" w:hAnsi="黑体" w:eastAsia="黑体"/>
                <w:color w:val="000000"/>
                <w:sz w:val="30"/>
                <w:szCs w:val="30"/>
              </w:rPr>
              <w:t>（不少于）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7" w:type="dxa"/>
            <w:vAlign w:val="center"/>
          </w:tcPr>
          <w:p>
            <w:pPr>
              <w:tabs>
                <w:tab w:val="left" w:pos="8312"/>
              </w:tabs>
              <w:spacing w:line="46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马克思主义学院</w:t>
            </w:r>
          </w:p>
        </w:tc>
        <w:tc>
          <w:tcPr>
            <w:tcW w:w="1680" w:type="dxa"/>
            <w:vAlign w:val="center"/>
          </w:tcPr>
          <w:p>
            <w:pPr>
              <w:tabs>
                <w:tab w:val="left" w:pos="8312"/>
              </w:tabs>
              <w:spacing w:line="460" w:lineRule="exact"/>
              <w:jc w:val="center"/>
              <w:rPr>
                <w:rFonts w:ascii="仿宋_GB2312" w:hAnsi="仿宋" w:eastAsia="仿宋_GB2312"/>
                <w:color w:val="000000"/>
                <w:sz w:val="28"/>
                <w:szCs w:val="28"/>
              </w:rPr>
            </w:pPr>
            <w:r>
              <w:rPr>
                <w:rFonts w:ascii="仿宋_GB2312" w:hAnsi="仿宋" w:eastAsia="仿宋_GB2312"/>
                <w:color w:val="000000"/>
                <w:sz w:val="28"/>
                <w:szCs w:val="28"/>
              </w:rPr>
              <w:t>38</w:t>
            </w:r>
          </w:p>
        </w:tc>
        <w:tc>
          <w:tcPr>
            <w:tcW w:w="2835" w:type="dxa"/>
            <w:vAlign w:val="center"/>
          </w:tcPr>
          <w:p>
            <w:pPr>
              <w:tabs>
                <w:tab w:val="left" w:pos="8312"/>
              </w:tabs>
              <w:spacing w:line="46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哲学院</w:t>
            </w:r>
          </w:p>
        </w:tc>
        <w:tc>
          <w:tcPr>
            <w:tcW w:w="1598" w:type="dxa"/>
            <w:vAlign w:val="center"/>
          </w:tcPr>
          <w:p>
            <w:pPr>
              <w:tabs>
                <w:tab w:val="left" w:pos="8312"/>
              </w:tabs>
              <w:spacing w:line="460" w:lineRule="exact"/>
              <w:jc w:val="center"/>
              <w:rPr>
                <w:rFonts w:ascii="仿宋_GB2312" w:hAnsi="仿宋" w:eastAsia="仿宋_GB2312"/>
                <w:color w:val="000000"/>
                <w:sz w:val="28"/>
                <w:szCs w:val="28"/>
              </w:rPr>
            </w:pPr>
            <w:r>
              <w:rPr>
                <w:rFonts w:ascii="仿宋_GB2312" w:hAnsi="仿宋" w:eastAsia="仿宋_GB2312"/>
                <w:color w:val="000000"/>
                <w:sz w:val="28"/>
                <w:szCs w:val="28"/>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7" w:type="dxa"/>
            <w:vAlign w:val="center"/>
          </w:tcPr>
          <w:p>
            <w:pPr>
              <w:tabs>
                <w:tab w:val="left" w:pos="8312"/>
              </w:tabs>
              <w:spacing w:line="46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经济学院</w:t>
            </w:r>
          </w:p>
        </w:tc>
        <w:tc>
          <w:tcPr>
            <w:tcW w:w="1680" w:type="dxa"/>
            <w:vAlign w:val="center"/>
          </w:tcPr>
          <w:p>
            <w:pPr>
              <w:tabs>
                <w:tab w:val="left" w:pos="8312"/>
              </w:tabs>
              <w:spacing w:line="460" w:lineRule="exact"/>
              <w:jc w:val="center"/>
              <w:rPr>
                <w:rFonts w:ascii="仿宋_GB2312" w:hAnsi="仿宋" w:eastAsia="仿宋_GB2312"/>
                <w:color w:val="000000"/>
                <w:sz w:val="28"/>
                <w:szCs w:val="28"/>
              </w:rPr>
            </w:pPr>
            <w:r>
              <w:rPr>
                <w:rFonts w:ascii="仿宋_GB2312" w:hAnsi="仿宋" w:eastAsia="仿宋_GB2312"/>
                <w:color w:val="000000"/>
                <w:sz w:val="28"/>
                <w:szCs w:val="28"/>
              </w:rPr>
              <w:t>448</w:t>
            </w:r>
          </w:p>
        </w:tc>
        <w:tc>
          <w:tcPr>
            <w:tcW w:w="2835" w:type="dxa"/>
            <w:vAlign w:val="center"/>
          </w:tcPr>
          <w:p>
            <w:pPr>
              <w:tabs>
                <w:tab w:val="left" w:pos="8312"/>
              </w:tabs>
              <w:spacing w:line="46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财政税务学院</w:t>
            </w:r>
          </w:p>
        </w:tc>
        <w:tc>
          <w:tcPr>
            <w:tcW w:w="1598" w:type="dxa"/>
            <w:vAlign w:val="center"/>
          </w:tcPr>
          <w:p>
            <w:pPr>
              <w:tabs>
                <w:tab w:val="left" w:pos="8312"/>
              </w:tabs>
              <w:spacing w:line="460" w:lineRule="exact"/>
              <w:jc w:val="center"/>
              <w:rPr>
                <w:rFonts w:ascii="仿宋_GB2312" w:hAnsi="仿宋" w:eastAsia="仿宋_GB2312"/>
                <w:color w:val="000000"/>
                <w:sz w:val="28"/>
                <w:szCs w:val="28"/>
              </w:rPr>
            </w:pPr>
            <w:r>
              <w:rPr>
                <w:rFonts w:ascii="仿宋_GB2312" w:hAnsi="仿宋" w:eastAsia="仿宋_GB2312"/>
                <w:color w:val="000000"/>
                <w:sz w:val="28"/>
                <w:szCs w:val="28"/>
              </w:rPr>
              <w:t>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7" w:type="dxa"/>
            <w:vAlign w:val="center"/>
          </w:tcPr>
          <w:p>
            <w:pPr>
              <w:tabs>
                <w:tab w:val="left" w:pos="8312"/>
              </w:tabs>
              <w:spacing w:line="46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金融学院</w:t>
            </w:r>
          </w:p>
        </w:tc>
        <w:tc>
          <w:tcPr>
            <w:tcW w:w="1680" w:type="dxa"/>
            <w:vAlign w:val="center"/>
          </w:tcPr>
          <w:p>
            <w:pPr>
              <w:tabs>
                <w:tab w:val="left" w:pos="8312"/>
              </w:tabs>
              <w:spacing w:line="460" w:lineRule="exact"/>
              <w:jc w:val="center"/>
              <w:rPr>
                <w:rFonts w:ascii="仿宋_GB2312" w:hAnsi="仿宋" w:eastAsia="仿宋_GB2312"/>
                <w:color w:val="000000"/>
                <w:sz w:val="28"/>
                <w:szCs w:val="28"/>
              </w:rPr>
            </w:pPr>
            <w:r>
              <w:rPr>
                <w:rFonts w:ascii="仿宋_GB2312" w:hAnsi="仿宋" w:eastAsia="仿宋_GB2312"/>
                <w:color w:val="000000"/>
                <w:sz w:val="28"/>
                <w:szCs w:val="28"/>
              </w:rPr>
              <w:t>938</w:t>
            </w:r>
          </w:p>
        </w:tc>
        <w:tc>
          <w:tcPr>
            <w:tcW w:w="2835" w:type="dxa"/>
            <w:vAlign w:val="center"/>
          </w:tcPr>
          <w:p>
            <w:pPr>
              <w:tabs>
                <w:tab w:val="left" w:pos="8312"/>
              </w:tabs>
              <w:spacing w:line="46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法学院</w:t>
            </w:r>
          </w:p>
        </w:tc>
        <w:tc>
          <w:tcPr>
            <w:tcW w:w="1598" w:type="dxa"/>
            <w:vAlign w:val="center"/>
          </w:tcPr>
          <w:p>
            <w:pPr>
              <w:tabs>
                <w:tab w:val="left" w:pos="8312"/>
              </w:tabs>
              <w:spacing w:line="460" w:lineRule="exact"/>
              <w:jc w:val="center"/>
              <w:rPr>
                <w:rFonts w:ascii="仿宋_GB2312" w:hAnsi="仿宋" w:eastAsia="仿宋_GB2312"/>
                <w:color w:val="000000"/>
                <w:sz w:val="28"/>
                <w:szCs w:val="28"/>
              </w:rPr>
            </w:pPr>
            <w:r>
              <w:rPr>
                <w:rFonts w:ascii="仿宋_GB2312" w:hAnsi="仿宋" w:eastAsia="仿宋_GB2312"/>
                <w:color w:val="000000"/>
                <w:sz w:val="28"/>
                <w:szCs w:val="28"/>
              </w:rPr>
              <w:t>1461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7" w:type="dxa"/>
            <w:vAlign w:val="center"/>
          </w:tcPr>
          <w:p>
            <w:pPr>
              <w:tabs>
                <w:tab w:val="left" w:pos="8312"/>
              </w:tabs>
              <w:spacing w:line="46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刑事司法学院</w:t>
            </w:r>
          </w:p>
        </w:tc>
        <w:tc>
          <w:tcPr>
            <w:tcW w:w="1680" w:type="dxa"/>
            <w:vAlign w:val="center"/>
          </w:tcPr>
          <w:p>
            <w:pPr>
              <w:tabs>
                <w:tab w:val="left" w:pos="8312"/>
              </w:tabs>
              <w:spacing w:line="460" w:lineRule="exact"/>
              <w:jc w:val="center"/>
              <w:rPr>
                <w:rFonts w:ascii="仿宋_GB2312" w:hAnsi="仿宋" w:eastAsia="仿宋_GB2312"/>
                <w:color w:val="000000"/>
                <w:sz w:val="28"/>
                <w:szCs w:val="28"/>
              </w:rPr>
            </w:pPr>
            <w:r>
              <w:rPr>
                <w:rFonts w:ascii="仿宋_GB2312" w:hAnsi="仿宋" w:eastAsia="仿宋_GB2312"/>
                <w:color w:val="000000"/>
                <w:sz w:val="28"/>
                <w:szCs w:val="28"/>
              </w:rPr>
              <w:t>380</w:t>
            </w:r>
          </w:p>
        </w:tc>
        <w:tc>
          <w:tcPr>
            <w:tcW w:w="2835" w:type="dxa"/>
            <w:vAlign w:val="center"/>
          </w:tcPr>
          <w:p>
            <w:pPr>
              <w:tabs>
                <w:tab w:val="left" w:pos="8312"/>
              </w:tabs>
              <w:spacing w:line="46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外国语学院</w:t>
            </w:r>
          </w:p>
        </w:tc>
        <w:tc>
          <w:tcPr>
            <w:tcW w:w="1598" w:type="dxa"/>
            <w:vAlign w:val="center"/>
          </w:tcPr>
          <w:p>
            <w:pPr>
              <w:tabs>
                <w:tab w:val="left" w:pos="8312"/>
              </w:tabs>
              <w:spacing w:line="460" w:lineRule="exact"/>
              <w:jc w:val="center"/>
              <w:rPr>
                <w:rFonts w:ascii="仿宋_GB2312" w:hAnsi="仿宋" w:eastAsia="仿宋_GB2312"/>
                <w:color w:val="000000"/>
                <w:sz w:val="28"/>
                <w:szCs w:val="28"/>
              </w:rPr>
            </w:pPr>
            <w:r>
              <w:rPr>
                <w:rFonts w:ascii="仿宋_GB2312" w:hAnsi="仿宋" w:eastAsia="仿宋_GB2312"/>
                <w:color w:val="000000"/>
                <w:sz w:val="28"/>
                <w:szCs w:val="28"/>
              </w:rPr>
              <w:t>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7" w:type="dxa"/>
            <w:vAlign w:val="center"/>
          </w:tcPr>
          <w:p>
            <w:pPr>
              <w:tabs>
                <w:tab w:val="left" w:pos="8312"/>
              </w:tabs>
              <w:spacing w:line="460" w:lineRule="exact"/>
              <w:jc w:val="left"/>
              <w:rPr>
                <w:rFonts w:ascii="仿宋_GB2312" w:hAnsi="仿宋" w:eastAsia="仿宋_GB2312"/>
                <w:color w:val="000000"/>
                <w:sz w:val="28"/>
                <w:szCs w:val="28"/>
              </w:rPr>
            </w:pPr>
            <w:r>
              <w:rPr>
                <w:rFonts w:hint="eastAsia" w:ascii="仿宋_GB2312" w:hAnsi="仿宋" w:eastAsia="仿宋_GB2312"/>
                <w:color w:val="000000"/>
                <w:sz w:val="28"/>
                <w:szCs w:val="28"/>
              </w:rPr>
              <w:t>新闻与文化传播学院</w:t>
            </w:r>
          </w:p>
        </w:tc>
        <w:tc>
          <w:tcPr>
            <w:tcW w:w="1680" w:type="dxa"/>
            <w:vAlign w:val="center"/>
          </w:tcPr>
          <w:p>
            <w:pPr>
              <w:tabs>
                <w:tab w:val="left" w:pos="8312"/>
              </w:tabs>
              <w:spacing w:line="460" w:lineRule="exact"/>
              <w:jc w:val="center"/>
              <w:rPr>
                <w:rFonts w:ascii="仿宋_GB2312" w:hAnsi="仿宋" w:eastAsia="仿宋_GB2312"/>
                <w:color w:val="000000"/>
                <w:sz w:val="28"/>
                <w:szCs w:val="28"/>
              </w:rPr>
            </w:pPr>
            <w:r>
              <w:rPr>
                <w:rFonts w:ascii="仿宋_GB2312" w:hAnsi="仿宋" w:eastAsia="仿宋_GB2312"/>
                <w:color w:val="000000"/>
                <w:sz w:val="28"/>
                <w:szCs w:val="28"/>
              </w:rPr>
              <w:t>329</w:t>
            </w:r>
          </w:p>
        </w:tc>
        <w:tc>
          <w:tcPr>
            <w:tcW w:w="2835" w:type="dxa"/>
            <w:vAlign w:val="center"/>
          </w:tcPr>
          <w:p>
            <w:pPr>
              <w:tabs>
                <w:tab w:val="left" w:pos="8312"/>
              </w:tabs>
              <w:spacing w:line="46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工商管理学院</w:t>
            </w:r>
          </w:p>
        </w:tc>
        <w:tc>
          <w:tcPr>
            <w:tcW w:w="1598" w:type="dxa"/>
            <w:vAlign w:val="center"/>
          </w:tcPr>
          <w:p>
            <w:pPr>
              <w:tabs>
                <w:tab w:val="left" w:pos="8312"/>
              </w:tabs>
              <w:spacing w:line="460" w:lineRule="exact"/>
              <w:jc w:val="center"/>
              <w:rPr>
                <w:rFonts w:ascii="仿宋_GB2312" w:hAnsi="仿宋" w:eastAsia="仿宋_GB2312"/>
                <w:color w:val="000000"/>
                <w:sz w:val="28"/>
                <w:szCs w:val="28"/>
              </w:rPr>
            </w:pPr>
            <w:r>
              <w:rPr>
                <w:rFonts w:ascii="仿宋_GB2312" w:hAnsi="仿宋" w:eastAsia="仿宋_GB2312"/>
                <w:color w:val="000000"/>
                <w:sz w:val="28"/>
                <w:szCs w:val="28"/>
              </w:rPr>
              <w:t>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7" w:type="dxa"/>
            <w:vAlign w:val="center"/>
          </w:tcPr>
          <w:p>
            <w:pPr>
              <w:tabs>
                <w:tab w:val="left" w:pos="8312"/>
              </w:tabs>
              <w:spacing w:line="46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会计学院</w:t>
            </w:r>
          </w:p>
        </w:tc>
        <w:tc>
          <w:tcPr>
            <w:tcW w:w="1680" w:type="dxa"/>
            <w:vAlign w:val="center"/>
          </w:tcPr>
          <w:p>
            <w:pPr>
              <w:tabs>
                <w:tab w:val="left" w:pos="8312"/>
              </w:tabs>
              <w:spacing w:line="460" w:lineRule="exact"/>
              <w:jc w:val="center"/>
              <w:rPr>
                <w:rFonts w:ascii="仿宋_GB2312" w:hAnsi="仿宋" w:eastAsia="仿宋_GB2312"/>
                <w:color w:val="000000"/>
                <w:sz w:val="28"/>
                <w:szCs w:val="28"/>
              </w:rPr>
            </w:pPr>
            <w:r>
              <w:rPr>
                <w:rFonts w:ascii="仿宋_GB2312" w:hAnsi="仿宋" w:eastAsia="仿宋_GB2312"/>
                <w:color w:val="000000"/>
                <w:sz w:val="28"/>
                <w:szCs w:val="28"/>
              </w:rPr>
              <w:t>745</w:t>
            </w:r>
          </w:p>
        </w:tc>
        <w:tc>
          <w:tcPr>
            <w:tcW w:w="2835" w:type="dxa"/>
            <w:vAlign w:val="center"/>
          </w:tcPr>
          <w:p>
            <w:pPr>
              <w:tabs>
                <w:tab w:val="left" w:pos="8312"/>
              </w:tabs>
              <w:spacing w:line="46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公共管理学院</w:t>
            </w:r>
          </w:p>
        </w:tc>
        <w:tc>
          <w:tcPr>
            <w:tcW w:w="1598" w:type="dxa"/>
            <w:vAlign w:val="center"/>
          </w:tcPr>
          <w:p>
            <w:pPr>
              <w:tabs>
                <w:tab w:val="left" w:pos="8312"/>
              </w:tabs>
              <w:spacing w:line="460" w:lineRule="exact"/>
              <w:jc w:val="center"/>
              <w:rPr>
                <w:rFonts w:ascii="仿宋_GB2312" w:hAnsi="仿宋" w:eastAsia="仿宋_GB2312"/>
                <w:color w:val="000000"/>
                <w:sz w:val="28"/>
                <w:szCs w:val="28"/>
              </w:rPr>
            </w:pPr>
            <w:r>
              <w:rPr>
                <w:rFonts w:ascii="仿宋_GB2312" w:hAnsi="仿宋" w:eastAsia="仿宋_GB2312"/>
                <w:color w:val="000000"/>
                <w:sz w:val="28"/>
                <w:szCs w:val="28"/>
              </w:rPr>
              <w:t>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7" w:type="dxa"/>
            <w:vAlign w:val="center"/>
          </w:tcPr>
          <w:p>
            <w:pPr>
              <w:tabs>
                <w:tab w:val="left" w:pos="8312"/>
              </w:tabs>
              <w:spacing w:line="46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统计与数学学院</w:t>
            </w:r>
          </w:p>
        </w:tc>
        <w:tc>
          <w:tcPr>
            <w:tcW w:w="1680" w:type="dxa"/>
            <w:vAlign w:val="center"/>
          </w:tcPr>
          <w:p>
            <w:pPr>
              <w:tabs>
                <w:tab w:val="left" w:pos="8312"/>
              </w:tabs>
              <w:spacing w:line="460" w:lineRule="exact"/>
              <w:jc w:val="center"/>
              <w:rPr>
                <w:rFonts w:ascii="仿宋_GB2312" w:hAnsi="仿宋" w:eastAsia="仿宋_GB2312"/>
                <w:color w:val="000000"/>
                <w:sz w:val="28"/>
                <w:szCs w:val="28"/>
              </w:rPr>
            </w:pPr>
            <w:r>
              <w:rPr>
                <w:rFonts w:ascii="仿宋_GB2312" w:hAnsi="仿宋" w:eastAsia="仿宋_GB2312"/>
                <w:color w:val="000000"/>
                <w:sz w:val="28"/>
                <w:szCs w:val="28"/>
              </w:rPr>
              <w:t>523</w:t>
            </w:r>
          </w:p>
        </w:tc>
        <w:tc>
          <w:tcPr>
            <w:tcW w:w="2835" w:type="dxa"/>
            <w:vAlign w:val="center"/>
          </w:tcPr>
          <w:p>
            <w:pPr>
              <w:tabs>
                <w:tab w:val="left" w:pos="8312"/>
              </w:tabs>
              <w:spacing w:line="46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信息与安全工程学院</w:t>
            </w:r>
          </w:p>
        </w:tc>
        <w:tc>
          <w:tcPr>
            <w:tcW w:w="1598" w:type="dxa"/>
            <w:vAlign w:val="center"/>
          </w:tcPr>
          <w:p>
            <w:pPr>
              <w:tabs>
                <w:tab w:val="left" w:pos="8312"/>
              </w:tabs>
              <w:spacing w:line="460" w:lineRule="exact"/>
              <w:jc w:val="center"/>
              <w:rPr>
                <w:rFonts w:ascii="仿宋_GB2312" w:hAnsi="仿宋" w:eastAsia="仿宋_GB2312"/>
                <w:color w:val="000000"/>
                <w:sz w:val="28"/>
                <w:szCs w:val="28"/>
              </w:rPr>
            </w:pPr>
            <w:r>
              <w:rPr>
                <w:rFonts w:ascii="仿宋_GB2312" w:hAnsi="仿宋" w:eastAsia="仿宋_GB2312"/>
                <w:color w:val="000000"/>
                <w:sz w:val="28"/>
                <w:szCs w:val="28"/>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7" w:type="dxa"/>
            <w:vAlign w:val="center"/>
          </w:tcPr>
          <w:p>
            <w:pPr>
              <w:tabs>
                <w:tab w:val="left" w:pos="8312"/>
              </w:tabs>
              <w:spacing w:line="46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文澜学院</w:t>
            </w:r>
          </w:p>
        </w:tc>
        <w:tc>
          <w:tcPr>
            <w:tcW w:w="1680" w:type="dxa"/>
            <w:vAlign w:val="center"/>
          </w:tcPr>
          <w:p>
            <w:pPr>
              <w:tabs>
                <w:tab w:val="left" w:pos="8312"/>
              </w:tabs>
              <w:spacing w:line="46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1</w:t>
            </w:r>
            <w:r>
              <w:rPr>
                <w:rFonts w:ascii="仿宋_GB2312" w:hAnsi="仿宋" w:eastAsia="仿宋_GB2312"/>
                <w:color w:val="000000"/>
                <w:sz w:val="28"/>
                <w:szCs w:val="28"/>
              </w:rPr>
              <w:t>25</w:t>
            </w:r>
          </w:p>
        </w:tc>
        <w:tc>
          <w:tcPr>
            <w:tcW w:w="2835" w:type="dxa"/>
            <w:vAlign w:val="center"/>
          </w:tcPr>
          <w:p>
            <w:pPr>
              <w:tabs>
                <w:tab w:val="left" w:pos="8312"/>
              </w:tabs>
              <w:spacing w:line="46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中韩新媒体学院</w:t>
            </w:r>
          </w:p>
        </w:tc>
        <w:tc>
          <w:tcPr>
            <w:tcW w:w="1598" w:type="dxa"/>
            <w:vAlign w:val="center"/>
          </w:tcPr>
          <w:p>
            <w:pPr>
              <w:tabs>
                <w:tab w:val="left" w:pos="8312"/>
              </w:tabs>
              <w:spacing w:line="46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3</w:t>
            </w:r>
            <w:r>
              <w:rPr>
                <w:rFonts w:ascii="仿宋_GB2312" w:hAnsi="仿宋" w:eastAsia="仿宋_GB2312"/>
                <w:color w:val="000000"/>
                <w:sz w:val="28"/>
                <w:szCs w:val="28"/>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7" w:type="dxa"/>
            <w:vAlign w:val="center"/>
          </w:tcPr>
          <w:p>
            <w:pPr>
              <w:tabs>
                <w:tab w:val="left" w:pos="8312"/>
              </w:tabs>
              <w:spacing w:line="46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法律与硕士研究中心</w:t>
            </w:r>
          </w:p>
        </w:tc>
        <w:tc>
          <w:tcPr>
            <w:tcW w:w="1680" w:type="dxa"/>
            <w:vAlign w:val="center"/>
          </w:tcPr>
          <w:p>
            <w:pPr>
              <w:tabs>
                <w:tab w:val="left" w:pos="8312"/>
              </w:tabs>
              <w:spacing w:line="460" w:lineRule="exact"/>
              <w:jc w:val="center"/>
              <w:rPr>
                <w:rFonts w:ascii="仿宋_GB2312" w:hAnsi="仿宋" w:eastAsia="仿宋_GB2312"/>
                <w:color w:val="000000"/>
                <w:sz w:val="28"/>
                <w:szCs w:val="28"/>
              </w:rPr>
            </w:pPr>
            <w:r>
              <w:rPr>
                <w:rFonts w:ascii="仿宋_GB2312" w:hAnsi="仿宋" w:eastAsia="仿宋_GB2312"/>
                <w:color w:val="000000"/>
                <w:sz w:val="28"/>
                <w:szCs w:val="28"/>
              </w:rPr>
              <w:t>299</w:t>
            </w:r>
          </w:p>
        </w:tc>
        <w:tc>
          <w:tcPr>
            <w:tcW w:w="2835" w:type="dxa"/>
            <w:vAlign w:val="center"/>
          </w:tcPr>
          <w:p>
            <w:pPr>
              <w:tabs>
                <w:tab w:val="left" w:pos="8312"/>
              </w:tabs>
              <w:spacing w:line="460" w:lineRule="exact"/>
              <w:jc w:val="center"/>
              <w:rPr>
                <w:rFonts w:ascii="仿宋_GB2312" w:hAnsi="仿宋" w:eastAsia="仿宋_GB2312"/>
                <w:color w:val="000000"/>
                <w:sz w:val="28"/>
                <w:szCs w:val="28"/>
              </w:rPr>
            </w:pPr>
          </w:p>
        </w:tc>
        <w:tc>
          <w:tcPr>
            <w:tcW w:w="1598" w:type="dxa"/>
            <w:vAlign w:val="center"/>
          </w:tcPr>
          <w:p>
            <w:pPr>
              <w:tabs>
                <w:tab w:val="left" w:pos="8312"/>
              </w:tabs>
              <w:spacing w:line="460" w:lineRule="exact"/>
              <w:jc w:val="center"/>
              <w:rPr>
                <w:rFonts w:ascii="仿宋_GB2312" w:hAnsi="仿宋" w:eastAsia="仿宋_GB2312"/>
                <w:color w:val="000000"/>
                <w:sz w:val="28"/>
                <w:szCs w:val="28"/>
              </w:rPr>
            </w:pPr>
          </w:p>
        </w:tc>
      </w:tr>
    </w:tbl>
    <w:p>
      <w:pPr>
        <w:spacing w:before="78" w:beforeLines="25" w:after="78" w:afterLines="25" w:line="460" w:lineRule="exact"/>
        <w:ind w:firstLine="640" w:firstLineChars="200"/>
        <w:rPr>
          <w:rFonts w:ascii="黑体" w:hAnsi="黑体" w:eastAsia="黑体"/>
          <w:b/>
          <w:color w:val="000000"/>
          <w:sz w:val="32"/>
          <w:szCs w:val="32"/>
        </w:rPr>
      </w:pPr>
      <w:r>
        <w:rPr>
          <w:rFonts w:hint="eastAsia" w:ascii="黑体" w:hAnsi="黑体" w:eastAsia="黑体"/>
          <w:b/>
          <w:color w:val="000000"/>
          <w:sz w:val="32"/>
          <w:szCs w:val="32"/>
        </w:rPr>
        <w:t>第四条  学院党委评价</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学院党委评价由学院团委邀请本院党委领导对本院共青团工作进行打分评价，并对学校共青团工作提出意见建议。</w:t>
      </w:r>
    </w:p>
    <w:p>
      <w:pPr>
        <w:spacing w:before="78" w:beforeLines="25" w:after="78" w:afterLines="25" w:line="460" w:lineRule="exact"/>
        <w:ind w:firstLine="640" w:firstLineChars="200"/>
        <w:rPr>
          <w:rFonts w:ascii="黑体" w:hAnsi="黑体" w:eastAsia="黑体"/>
          <w:b/>
          <w:color w:val="000000"/>
          <w:sz w:val="32"/>
          <w:szCs w:val="32"/>
        </w:rPr>
      </w:pPr>
      <w:r>
        <w:rPr>
          <w:rFonts w:hint="eastAsia" w:ascii="黑体" w:hAnsi="黑体" w:eastAsia="黑体"/>
          <w:b/>
          <w:color w:val="000000"/>
          <w:sz w:val="32"/>
          <w:szCs w:val="32"/>
        </w:rPr>
        <w:t>第五条  附则</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以上</w:t>
      </w:r>
      <w:r>
        <w:rPr>
          <w:rFonts w:ascii="仿宋_GB2312" w:hAnsi="仿宋" w:eastAsia="仿宋_GB2312"/>
          <w:color w:val="000000"/>
          <w:sz w:val="28"/>
          <w:szCs w:val="28"/>
        </w:rPr>
        <w:t>办法的最终解释权归共青团中南财经政法大学委员会</w:t>
      </w:r>
      <w:r>
        <w:rPr>
          <w:rFonts w:hint="eastAsia" w:ascii="仿宋_GB2312" w:hAnsi="仿宋" w:eastAsia="仿宋_GB2312"/>
          <w:color w:val="000000"/>
          <w:sz w:val="28"/>
          <w:szCs w:val="28"/>
        </w:rPr>
        <w:t>所有</w:t>
      </w:r>
      <w:r>
        <w:rPr>
          <w:rFonts w:ascii="仿宋_GB2312" w:hAnsi="仿宋" w:eastAsia="仿宋_GB2312"/>
          <w:color w:val="000000"/>
          <w:sz w:val="28"/>
          <w:szCs w:val="28"/>
        </w:rPr>
        <w:t>。</w:t>
      </w:r>
    </w:p>
    <w:p>
      <w:pPr>
        <w:tabs>
          <w:tab w:val="left" w:pos="8312"/>
        </w:tabs>
        <w:spacing w:line="460" w:lineRule="exact"/>
        <w:ind w:firstLine="3640" w:firstLineChars="1300"/>
        <w:jc w:val="right"/>
        <w:rPr>
          <w:rFonts w:ascii="仿宋_GB2312" w:hAnsi="仿宋" w:eastAsia="仿宋_GB2312"/>
          <w:color w:val="000000"/>
          <w:sz w:val="28"/>
          <w:szCs w:val="28"/>
        </w:rPr>
      </w:pPr>
    </w:p>
    <w:p>
      <w:pPr>
        <w:tabs>
          <w:tab w:val="left" w:pos="8312"/>
        </w:tabs>
        <w:spacing w:line="460" w:lineRule="exact"/>
        <w:ind w:firstLine="3640" w:firstLineChars="1300"/>
        <w:jc w:val="right"/>
        <w:rPr>
          <w:rFonts w:ascii="仿宋_GB2312" w:hAnsi="仿宋" w:eastAsia="仿宋_GB2312"/>
          <w:color w:val="000000"/>
          <w:sz w:val="28"/>
          <w:szCs w:val="28"/>
        </w:rPr>
      </w:pPr>
    </w:p>
    <w:p>
      <w:pPr>
        <w:tabs>
          <w:tab w:val="left" w:pos="8312"/>
        </w:tabs>
        <w:spacing w:line="460" w:lineRule="exact"/>
        <w:ind w:firstLine="3640" w:firstLineChars="1300"/>
        <w:jc w:val="right"/>
        <w:rPr>
          <w:rFonts w:ascii="仿宋_GB2312" w:hAnsi="仿宋" w:eastAsia="仿宋_GB2312"/>
          <w:color w:val="000000"/>
          <w:sz w:val="28"/>
          <w:szCs w:val="28"/>
        </w:rPr>
      </w:pPr>
      <w:r>
        <w:rPr>
          <w:rFonts w:hint="eastAsia" w:ascii="仿宋_GB2312" w:hAnsi="仿宋" w:eastAsia="仿宋_GB2312"/>
          <w:color w:val="000000"/>
          <w:sz w:val="28"/>
          <w:szCs w:val="28"/>
        </w:rPr>
        <w:t>共青团中南财经政法大学委员会</w:t>
      </w:r>
    </w:p>
    <w:p>
      <w:pPr>
        <w:tabs>
          <w:tab w:val="left" w:pos="8312"/>
        </w:tabs>
        <w:spacing w:line="460" w:lineRule="exact"/>
        <w:ind w:right="935"/>
        <w:jc w:val="right"/>
        <w:rPr>
          <w:rFonts w:ascii="仿宋_GB2312" w:hAnsi="仿宋" w:eastAsia="仿宋_GB2312"/>
          <w:color w:val="000000"/>
          <w:sz w:val="28"/>
          <w:szCs w:val="28"/>
        </w:rPr>
      </w:pPr>
      <w:r>
        <w:rPr>
          <w:rFonts w:hint="eastAsia" w:ascii="仿宋_GB2312" w:hAnsi="仿宋" w:eastAsia="仿宋_GB2312"/>
          <w:color w:val="000000"/>
          <w:sz w:val="28"/>
          <w:szCs w:val="28"/>
        </w:rPr>
        <w:t>2023年3月14日</w:t>
      </w:r>
    </w:p>
    <w:p>
      <w:pPr>
        <w:spacing w:before="156" w:beforeLines="50" w:after="156" w:afterLines="50" w:line="460" w:lineRule="exact"/>
        <w:jc w:val="center"/>
        <w:rPr>
          <w:rFonts w:ascii="方正小标宋简体" w:hAnsi="华文中宋" w:eastAsia="方正小标宋简体"/>
          <w:color w:val="000000"/>
          <w:sz w:val="36"/>
          <w:szCs w:val="36"/>
        </w:rPr>
      </w:pPr>
      <w:r>
        <w:rPr>
          <w:rFonts w:hint="eastAsia" w:ascii="方正小标宋简体" w:hAnsi="仿宋" w:eastAsia="方正小标宋简体" w:cs="方正小标宋简体"/>
          <w:b/>
          <w:color w:val="000000"/>
          <w:sz w:val="32"/>
          <w:szCs w:val="32"/>
          <w:lang w:bidi="ar"/>
        </w:rPr>
        <w:br w:type="page"/>
      </w:r>
      <w:r>
        <w:rPr>
          <w:rFonts w:hint="eastAsia" w:ascii="方正小标宋简体" w:hAnsi="华文中宋" w:eastAsia="方正小标宋简体"/>
          <w:color w:val="000000"/>
          <w:sz w:val="36"/>
          <w:szCs w:val="36"/>
        </w:rPr>
        <w:t>“实践育人单项奖”评比办法</w:t>
      </w:r>
    </w:p>
    <w:p>
      <w:pPr>
        <w:spacing w:before="78" w:beforeLines="25" w:after="78" w:afterLines="25" w:line="460" w:lineRule="exact"/>
        <w:ind w:firstLine="640" w:firstLineChars="200"/>
        <w:rPr>
          <w:rFonts w:ascii="黑体" w:hAnsi="黑体" w:eastAsia="黑体"/>
          <w:b/>
          <w:color w:val="000000"/>
          <w:sz w:val="32"/>
          <w:szCs w:val="32"/>
        </w:rPr>
      </w:pPr>
      <w:r>
        <w:rPr>
          <w:rFonts w:hint="eastAsia" w:ascii="黑体" w:hAnsi="黑体" w:eastAsia="黑体"/>
          <w:b/>
          <w:color w:val="000000"/>
          <w:sz w:val="32"/>
          <w:szCs w:val="32"/>
        </w:rPr>
        <w:t>第一条  总则</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校团委依据各分团委评比的综合得分从高到低评选出实践育人单项奖。各院综合得分由日常工作考核得分、书面述职得分、线上展示得分、学院党委评价得分、青年评议得分五部分加权构成。计算公式为：综合得分=日常</w:t>
      </w:r>
      <w:r>
        <w:rPr>
          <w:rFonts w:ascii="仿宋_GB2312" w:hAnsi="仿宋" w:eastAsia="仿宋_GB2312"/>
          <w:color w:val="000000"/>
          <w:sz w:val="28"/>
          <w:szCs w:val="28"/>
        </w:rPr>
        <w:t>工作考核得分</w:t>
      </w:r>
      <w:r>
        <w:rPr>
          <w:rFonts w:hint="eastAsia" w:ascii="仿宋_GB2312" w:hAnsi="仿宋" w:eastAsia="仿宋_GB2312"/>
          <w:color w:val="000000"/>
          <w:sz w:val="28"/>
          <w:szCs w:val="28"/>
        </w:rPr>
        <w:t>（百分制）×10%+线下答辩（百分制）×</w:t>
      </w:r>
      <w:r>
        <w:rPr>
          <w:rFonts w:ascii="仿宋_GB2312" w:hAnsi="仿宋" w:eastAsia="仿宋_GB2312"/>
          <w:color w:val="000000"/>
          <w:sz w:val="28"/>
          <w:szCs w:val="28"/>
        </w:rPr>
        <w:t>50</w:t>
      </w:r>
      <w:r>
        <w:rPr>
          <w:rFonts w:hint="eastAsia" w:ascii="仿宋_GB2312" w:hAnsi="仿宋" w:eastAsia="仿宋_GB2312"/>
          <w:color w:val="000000"/>
          <w:sz w:val="28"/>
          <w:szCs w:val="28"/>
        </w:rPr>
        <w:t>%+学院党委评价（百分制）×20%＋青年评议（百分制）×20%。</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校团委依据《共青团中南财经政法大学委员会分团委工作考核办法》及相关规定对各院进行年度考核。年度考核以学年度为单位，各分团委应当按照校团委的要求上交奖项申报表，由校团委根据各院书面述职报告和线上展示进行考核评分。</w:t>
      </w:r>
    </w:p>
    <w:p>
      <w:pPr>
        <w:spacing w:before="78" w:beforeLines="25" w:after="78" w:afterLines="25" w:line="460" w:lineRule="exact"/>
        <w:ind w:firstLine="640" w:firstLineChars="200"/>
        <w:rPr>
          <w:rFonts w:ascii="黑体" w:hAnsi="黑体" w:eastAsia="黑体"/>
          <w:b/>
          <w:color w:val="000000"/>
          <w:sz w:val="32"/>
          <w:szCs w:val="32"/>
        </w:rPr>
      </w:pPr>
      <w:r>
        <w:rPr>
          <w:rFonts w:hint="eastAsia" w:ascii="黑体" w:hAnsi="黑体" w:eastAsia="黑体"/>
          <w:b/>
          <w:color w:val="000000"/>
          <w:sz w:val="32"/>
          <w:szCs w:val="32"/>
        </w:rPr>
        <w:t>第二条  “实践育人单项奖”答辩评分量化标准</w:t>
      </w:r>
    </w:p>
    <w:p>
      <w:pPr>
        <w:spacing w:line="460" w:lineRule="exact"/>
        <w:ind w:firstLine="600" w:firstLineChars="200"/>
        <w:rPr>
          <w:rFonts w:ascii="楷体_GB2312" w:eastAsia="楷体_GB2312" w:cs="仿宋_GB2312"/>
          <w:b/>
          <w:sz w:val="30"/>
          <w:szCs w:val="30"/>
        </w:rPr>
      </w:pPr>
      <w:r>
        <w:rPr>
          <w:rFonts w:hint="eastAsia" w:ascii="楷体_GB2312" w:eastAsia="楷体_GB2312" w:cs="仿宋_GB2312"/>
          <w:b/>
          <w:sz w:val="30"/>
          <w:szCs w:val="30"/>
        </w:rPr>
        <w:t>（一）总体要求</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1.内容属实，简洁明了，概括性强，重点突出。</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2.工作</w:t>
      </w:r>
      <w:r>
        <w:rPr>
          <w:rFonts w:ascii="仿宋_GB2312" w:hAnsi="仿宋" w:eastAsia="仿宋_GB2312"/>
          <w:color w:val="000000"/>
          <w:sz w:val="28"/>
          <w:szCs w:val="28"/>
        </w:rPr>
        <w:t>特色鲜明，举措得力，</w:t>
      </w:r>
      <w:r>
        <w:rPr>
          <w:rFonts w:hint="eastAsia" w:ascii="仿宋_GB2312" w:hAnsi="仿宋" w:eastAsia="仿宋_GB2312"/>
          <w:color w:val="000000"/>
          <w:sz w:val="28"/>
          <w:szCs w:val="28"/>
        </w:rPr>
        <w:t>成效</w:t>
      </w:r>
      <w:r>
        <w:rPr>
          <w:rFonts w:ascii="仿宋_GB2312" w:hAnsi="仿宋" w:eastAsia="仿宋_GB2312"/>
          <w:color w:val="000000"/>
          <w:sz w:val="28"/>
          <w:szCs w:val="28"/>
        </w:rPr>
        <w:t>突出。</w:t>
      </w:r>
    </w:p>
    <w:p>
      <w:pPr>
        <w:spacing w:line="460" w:lineRule="exact"/>
        <w:ind w:firstLine="600" w:firstLineChars="200"/>
        <w:rPr>
          <w:rFonts w:ascii="楷体_GB2312" w:eastAsia="楷体_GB2312" w:cs="仿宋_GB2312"/>
          <w:b/>
          <w:sz w:val="30"/>
          <w:szCs w:val="30"/>
        </w:rPr>
      </w:pPr>
      <w:r>
        <w:rPr>
          <w:rFonts w:hint="eastAsia" w:ascii="楷体_GB2312" w:eastAsia="楷体_GB2312" w:cs="仿宋_GB2312"/>
          <w:b/>
          <w:sz w:val="30"/>
          <w:szCs w:val="30"/>
        </w:rPr>
        <w:t>（二）实践</w:t>
      </w:r>
      <w:r>
        <w:rPr>
          <w:rFonts w:ascii="楷体_GB2312" w:eastAsia="楷体_GB2312" w:cs="仿宋_GB2312"/>
          <w:b/>
          <w:sz w:val="30"/>
          <w:szCs w:val="30"/>
        </w:rPr>
        <w:t>工作</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1.以学院为依托，整合实践资源，拓展实践平台，积极联合城市社区、农村乡镇、工商企业、爱国主义教育场所等，建立多种形式的社会实践、志愿服务</w:t>
      </w:r>
      <w:r>
        <w:rPr>
          <w:rFonts w:ascii="仿宋_GB2312" w:hAnsi="仿宋" w:eastAsia="仿宋_GB2312"/>
          <w:color w:val="000000"/>
          <w:sz w:val="28"/>
          <w:szCs w:val="28"/>
        </w:rPr>
        <w:t>、实习实训、创新创业</w:t>
      </w:r>
      <w:r>
        <w:rPr>
          <w:rFonts w:hint="eastAsia" w:ascii="仿宋_GB2312" w:hAnsi="仿宋" w:eastAsia="仿宋_GB2312"/>
          <w:color w:val="000000"/>
          <w:sz w:val="28"/>
          <w:szCs w:val="28"/>
        </w:rPr>
        <w:t>基地。</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2.实践活动符合上级党</w:t>
      </w:r>
      <w:r>
        <w:rPr>
          <w:rFonts w:ascii="仿宋_GB2312" w:hAnsi="仿宋" w:eastAsia="仿宋_GB2312"/>
          <w:color w:val="000000"/>
          <w:sz w:val="28"/>
          <w:szCs w:val="28"/>
        </w:rPr>
        <w:t>团组织</w:t>
      </w:r>
      <w:r>
        <w:rPr>
          <w:rFonts w:hint="eastAsia" w:ascii="仿宋_GB2312" w:hAnsi="仿宋" w:eastAsia="仿宋_GB2312"/>
          <w:color w:val="000000"/>
          <w:sz w:val="28"/>
          <w:szCs w:val="28"/>
        </w:rPr>
        <w:t>要求，实践内容丰富，实践形式多样，广泛开展社会调查、生产劳动、社会公益、志愿服务、挂职锻炼</w:t>
      </w:r>
      <w:r>
        <w:rPr>
          <w:rFonts w:ascii="仿宋_GB2312" w:hAnsi="仿宋" w:eastAsia="仿宋_GB2312"/>
          <w:color w:val="000000"/>
          <w:sz w:val="28"/>
          <w:szCs w:val="28"/>
        </w:rPr>
        <w:t>、创新创业</w:t>
      </w:r>
      <w:r>
        <w:rPr>
          <w:rFonts w:hint="eastAsia" w:ascii="仿宋_GB2312" w:hAnsi="仿宋" w:eastAsia="仿宋_GB2312"/>
          <w:color w:val="000000"/>
          <w:sz w:val="28"/>
          <w:szCs w:val="28"/>
        </w:rPr>
        <w:t>等社会实践活动，组织</w:t>
      </w:r>
      <w:r>
        <w:rPr>
          <w:rFonts w:ascii="仿宋_GB2312" w:hAnsi="仿宋" w:eastAsia="仿宋_GB2312"/>
          <w:color w:val="000000"/>
          <w:sz w:val="28"/>
          <w:szCs w:val="28"/>
        </w:rPr>
        <w:t>有力，</w:t>
      </w:r>
      <w:r>
        <w:rPr>
          <w:rFonts w:hint="eastAsia" w:ascii="仿宋_GB2312" w:hAnsi="仿宋" w:eastAsia="仿宋_GB2312"/>
          <w:color w:val="000000"/>
          <w:sz w:val="28"/>
          <w:szCs w:val="28"/>
        </w:rPr>
        <w:t>覆盖</w:t>
      </w:r>
      <w:r>
        <w:rPr>
          <w:rFonts w:ascii="仿宋_GB2312" w:hAnsi="仿宋" w:eastAsia="仿宋_GB2312"/>
          <w:color w:val="000000"/>
          <w:sz w:val="28"/>
          <w:szCs w:val="28"/>
        </w:rPr>
        <w:t>面广，</w:t>
      </w:r>
      <w:r>
        <w:rPr>
          <w:rFonts w:hint="eastAsia" w:ascii="仿宋_GB2312" w:hAnsi="仿宋" w:eastAsia="仿宋_GB2312"/>
          <w:color w:val="000000"/>
          <w:sz w:val="28"/>
          <w:szCs w:val="28"/>
        </w:rPr>
        <w:t>特色突出。</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3.学院支持机制完善，对于</w:t>
      </w:r>
      <w:r>
        <w:rPr>
          <w:rFonts w:ascii="仿宋_GB2312" w:hAnsi="仿宋" w:eastAsia="仿宋_GB2312"/>
          <w:color w:val="000000"/>
          <w:sz w:val="28"/>
          <w:szCs w:val="28"/>
        </w:rPr>
        <w:t>社会实践工作</w:t>
      </w:r>
      <w:r>
        <w:rPr>
          <w:rFonts w:hint="eastAsia" w:ascii="仿宋_GB2312" w:hAnsi="仿宋" w:eastAsia="仿宋_GB2312"/>
          <w:color w:val="000000"/>
          <w:sz w:val="28"/>
          <w:szCs w:val="28"/>
        </w:rPr>
        <w:t>有相应</w:t>
      </w:r>
      <w:r>
        <w:rPr>
          <w:rFonts w:ascii="仿宋_GB2312" w:hAnsi="仿宋" w:eastAsia="仿宋_GB2312"/>
          <w:color w:val="000000"/>
          <w:sz w:val="28"/>
          <w:szCs w:val="28"/>
        </w:rPr>
        <w:t>的制度设计</w:t>
      </w:r>
      <w:r>
        <w:rPr>
          <w:rFonts w:hint="eastAsia" w:ascii="仿宋_GB2312" w:hAnsi="仿宋" w:eastAsia="仿宋_GB2312"/>
          <w:color w:val="000000"/>
          <w:sz w:val="28"/>
          <w:szCs w:val="28"/>
        </w:rPr>
        <w:t>、</w:t>
      </w:r>
      <w:r>
        <w:rPr>
          <w:rFonts w:ascii="仿宋_GB2312" w:hAnsi="仿宋" w:eastAsia="仿宋_GB2312"/>
          <w:color w:val="000000"/>
          <w:sz w:val="28"/>
          <w:szCs w:val="28"/>
        </w:rPr>
        <w:t>经费支持</w:t>
      </w:r>
      <w:r>
        <w:rPr>
          <w:rFonts w:hint="eastAsia" w:ascii="仿宋_GB2312" w:hAnsi="仿宋" w:eastAsia="仿宋_GB2312"/>
          <w:color w:val="000000"/>
          <w:sz w:val="28"/>
          <w:szCs w:val="28"/>
        </w:rPr>
        <w:t>和</w:t>
      </w:r>
      <w:r>
        <w:rPr>
          <w:rFonts w:ascii="仿宋_GB2312" w:hAnsi="仿宋" w:eastAsia="仿宋_GB2312"/>
          <w:color w:val="000000"/>
          <w:sz w:val="28"/>
          <w:szCs w:val="28"/>
        </w:rPr>
        <w:t>物资保障</w:t>
      </w:r>
      <w:r>
        <w:rPr>
          <w:rFonts w:hint="eastAsia" w:ascii="仿宋_GB2312" w:hAnsi="仿宋" w:eastAsia="仿宋_GB2312"/>
          <w:color w:val="000000"/>
          <w:sz w:val="28"/>
          <w:szCs w:val="28"/>
        </w:rPr>
        <w:t>。</w:t>
      </w:r>
    </w:p>
    <w:p>
      <w:pPr>
        <w:spacing w:line="460" w:lineRule="exact"/>
        <w:ind w:firstLine="600" w:firstLineChars="200"/>
        <w:rPr>
          <w:rFonts w:ascii="楷体_GB2312" w:eastAsia="楷体_GB2312" w:cs="仿宋_GB2312"/>
          <w:b/>
          <w:sz w:val="30"/>
          <w:szCs w:val="30"/>
        </w:rPr>
      </w:pPr>
      <w:r>
        <w:rPr>
          <w:rFonts w:hint="eastAsia" w:ascii="楷体_GB2312" w:eastAsia="楷体_GB2312" w:cs="仿宋_GB2312"/>
          <w:b/>
          <w:sz w:val="30"/>
          <w:szCs w:val="30"/>
        </w:rPr>
        <w:t>（三）实践成效</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1.分团委在考核期内有相应的工作成绩，相应的实践成果、经验做法具有较好的推广价值、借鉴意义，并形成书面成果报告或者获得相关奖项。</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2.分团委在考核期内拓展实践育人平台，以项目为载体，构建了定点化、常态化、融入化的实践育人资源协同体系，助推了社会治理创新和社会和谐发展，实现院地共建、双赢共进，工作成效显著。</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3.分团委设置社会实践奖励机制，对社会实践活动中的先进个人、先进集体等进行表彰，并积极推广、宣传优秀成果。</w:t>
      </w:r>
    </w:p>
    <w:p>
      <w:pPr>
        <w:spacing w:line="460" w:lineRule="exact"/>
        <w:ind w:firstLine="600" w:firstLineChars="200"/>
        <w:rPr>
          <w:rFonts w:ascii="楷体_GB2312" w:eastAsia="楷体_GB2312" w:cs="仿宋_GB2312"/>
          <w:b/>
          <w:sz w:val="30"/>
          <w:szCs w:val="30"/>
        </w:rPr>
      </w:pPr>
      <w:r>
        <w:rPr>
          <w:rFonts w:hint="eastAsia" w:ascii="楷体_GB2312" w:eastAsia="楷体_GB2312" w:cs="仿宋_GB2312"/>
          <w:b/>
          <w:sz w:val="30"/>
          <w:szCs w:val="30"/>
        </w:rPr>
        <w:t>（四）附加</w:t>
      </w:r>
      <w:r>
        <w:rPr>
          <w:rFonts w:ascii="楷体_GB2312" w:eastAsia="楷体_GB2312" w:cs="仿宋_GB2312"/>
          <w:b/>
          <w:sz w:val="30"/>
          <w:szCs w:val="30"/>
        </w:rPr>
        <w:t>项</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如有以下情况，可在原有100分满分基础上另行加分，作为附加分。</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分团委社会实践基地或项目（团队）受到表彰或在团属媒体上报道。（国家级8分，省级5分，市区级或校级2分）</w:t>
      </w:r>
    </w:p>
    <w:p>
      <w:pPr>
        <w:spacing w:before="78" w:beforeLines="25" w:after="78" w:afterLines="25" w:line="460" w:lineRule="exact"/>
        <w:ind w:firstLine="640" w:firstLineChars="200"/>
        <w:rPr>
          <w:rFonts w:ascii="黑体" w:hAnsi="黑体" w:eastAsia="黑体"/>
          <w:b/>
          <w:color w:val="000000"/>
          <w:sz w:val="32"/>
          <w:szCs w:val="32"/>
        </w:rPr>
      </w:pPr>
      <w:r>
        <w:rPr>
          <w:rFonts w:hint="eastAsia" w:ascii="黑体" w:hAnsi="黑体" w:eastAsia="黑体"/>
          <w:b/>
          <w:color w:val="000000"/>
          <w:sz w:val="32"/>
          <w:szCs w:val="32"/>
        </w:rPr>
        <w:t xml:space="preserve">第三条 </w:t>
      </w:r>
      <w:r>
        <w:rPr>
          <w:rFonts w:ascii="黑体" w:hAnsi="黑体" w:eastAsia="黑体"/>
          <w:b/>
          <w:color w:val="000000"/>
          <w:sz w:val="32"/>
          <w:szCs w:val="32"/>
        </w:rPr>
        <w:t xml:space="preserve"> 附则</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以上办法的最终解释权归共青团中南财经政法大学委员会所有。</w:t>
      </w:r>
    </w:p>
    <w:p>
      <w:pPr>
        <w:spacing w:line="460" w:lineRule="exact"/>
        <w:jc w:val="right"/>
        <w:rPr>
          <w:rFonts w:ascii="仿宋_GB2312" w:hAnsi="仿宋" w:eastAsia="仿宋_GB2312" w:cs="仿宋_GB2312"/>
          <w:sz w:val="30"/>
          <w:szCs w:val="30"/>
        </w:rPr>
      </w:pPr>
    </w:p>
    <w:p>
      <w:pPr>
        <w:spacing w:line="460" w:lineRule="exact"/>
        <w:jc w:val="right"/>
        <w:rPr>
          <w:rFonts w:ascii="仿宋_GB2312" w:hAnsi="仿宋" w:eastAsia="仿宋_GB2312" w:cs="仿宋_GB2312"/>
          <w:sz w:val="30"/>
          <w:szCs w:val="30"/>
        </w:rPr>
      </w:pPr>
    </w:p>
    <w:p>
      <w:pPr>
        <w:spacing w:line="460" w:lineRule="exact"/>
        <w:jc w:val="right"/>
        <w:rPr>
          <w:rFonts w:ascii="仿宋_GB2312" w:hAnsi="仿宋" w:eastAsia="仿宋_GB2312" w:cs="仿宋_GB2312"/>
          <w:sz w:val="30"/>
          <w:szCs w:val="30"/>
        </w:rPr>
      </w:pPr>
    </w:p>
    <w:p>
      <w:pPr>
        <w:spacing w:line="460" w:lineRule="exact"/>
        <w:ind w:firstLine="560" w:firstLineChars="200"/>
        <w:jc w:val="right"/>
        <w:rPr>
          <w:rFonts w:ascii="仿宋_GB2312" w:hAnsi="仿宋" w:eastAsia="仿宋_GB2312"/>
          <w:color w:val="000000"/>
          <w:sz w:val="28"/>
          <w:szCs w:val="28"/>
        </w:rPr>
      </w:pPr>
      <w:r>
        <w:rPr>
          <w:rFonts w:hint="eastAsia" w:ascii="仿宋_GB2312" w:hAnsi="仿宋" w:eastAsia="仿宋_GB2312"/>
          <w:color w:val="000000"/>
          <w:sz w:val="28"/>
          <w:szCs w:val="28"/>
        </w:rPr>
        <w:t>共青团中南财经政法大学委员会</w:t>
      </w:r>
    </w:p>
    <w:p>
      <w:pPr>
        <w:spacing w:line="460" w:lineRule="exact"/>
        <w:ind w:right="934" w:rightChars="445" w:firstLine="560" w:firstLineChars="200"/>
        <w:jc w:val="right"/>
        <w:rPr>
          <w:rFonts w:ascii="仿宋_GB2312" w:hAnsi="仿宋" w:eastAsia="仿宋_GB2312"/>
          <w:color w:val="000000"/>
          <w:sz w:val="28"/>
          <w:szCs w:val="28"/>
        </w:rPr>
      </w:pPr>
      <w:r>
        <w:rPr>
          <w:rFonts w:hint="eastAsia" w:ascii="仿宋_GB2312" w:hAnsi="仿宋" w:eastAsia="仿宋_GB2312"/>
          <w:color w:val="000000"/>
          <w:sz w:val="28"/>
          <w:szCs w:val="28"/>
        </w:rPr>
        <w:t>2023年3月14日</w:t>
      </w:r>
    </w:p>
    <w:p>
      <w:pPr>
        <w:spacing w:before="156" w:beforeLines="50" w:after="156" w:afterLines="50" w:line="460" w:lineRule="exact"/>
        <w:jc w:val="center"/>
        <w:rPr>
          <w:rFonts w:ascii="方正小标宋简体" w:hAnsi="华文中宋" w:eastAsia="方正小标宋简体"/>
          <w:color w:val="000000"/>
          <w:sz w:val="36"/>
          <w:szCs w:val="36"/>
        </w:rPr>
      </w:pPr>
      <w:r>
        <w:rPr>
          <w:rFonts w:ascii="仿宋_GB2312" w:hAnsi="仿宋_GB2312" w:eastAsia="仿宋_GB2312" w:cs="仿宋_GB2312"/>
          <w:color w:val="000000"/>
          <w:sz w:val="30"/>
          <w:szCs w:val="30"/>
        </w:rPr>
        <w:br w:type="page"/>
      </w:r>
    </w:p>
    <w:p>
      <w:pPr>
        <w:spacing w:before="156" w:beforeLines="50" w:after="156" w:afterLines="50" w:line="460" w:lineRule="exact"/>
        <w:jc w:val="center"/>
        <w:rPr>
          <w:rFonts w:ascii="方正小标宋简体" w:hAnsi="华文中宋" w:eastAsia="方正小标宋简体"/>
          <w:color w:val="000000"/>
          <w:sz w:val="36"/>
          <w:szCs w:val="36"/>
        </w:rPr>
      </w:pPr>
      <w:r>
        <w:rPr>
          <w:rFonts w:hint="eastAsia" w:ascii="方正小标宋简体" w:hAnsi="华文中宋" w:eastAsia="方正小标宋简体"/>
          <w:color w:val="000000"/>
          <w:sz w:val="36"/>
          <w:szCs w:val="36"/>
        </w:rPr>
        <w:t>“校园文化育人单项奖”评选办法</w:t>
      </w:r>
    </w:p>
    <w:p>
      <w:pPr>
        <w:spacing w:before="78" w:beforeLines="25" w:after="78" w:afterLines="25" w:line="460" w:lineRule="exact"/>
        <w:ind w:firstLine="640" w:firstLineChars="200"/>
        <w:rPr>
          <w:rFonts w:ascii="黑体" w:hAnsi="黑体" w:eastAsia="黑体"/>
          <w:b/>
          <w:color w:val="000000"/>
          <w:sz w:val="32"/>
          <w:szCs w:val="32"/>
        </w:rPr>
      </w:pPr>
      <w:r>
        <w:rPr>
          <w:rFonts w:hint="eastAsia" w:ascii="黑体" w:hAnsi="黑体" w:eastAsia="黑体"/>
          <w:b/>
          <w:color w:val="000000"/>
          <w:sz w:val="32"/>
          <w:szCs w:val="32"/>
        </w:rPr>
        <w:t>第一条  总则</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校团委依据各分团委评比的综合得分从高到低评选出文化育人单项奖。各院综合得分由日常工作考核得分、书面述职得分、线上展示得分、学院党委评价得分、青年评议得分五部分加权构成。计算公式为：综合得分=日常工作考核得分（百分制）×10%+线下答辩（百分制）×50%+学院党委评价（百分制）×20%＋青年评议（百分制）×20%。</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校团委依据《共青团中南财经政法大学委员会分团委工作考核办法》及相关规定对各院进行年度考核。年度考核以学年度为单位，各分团委应当按照校团委的要求上交奖项申报表，由校团委根据各院书面述职报告和线上展示进行考核评分。</w:t>
      </w:r>
    </w:p>
    <w:p>
      <w:pPr>
        <w:spacing w:before="78" w:beforeLines="25" w:after="78" w:afterLines="25" w:line="460" w:lineRule="exact"/>
        <w:ind w:firstLine="640" w:firstLineChars="200"/>
        <w:rPr>
          <w:rFonts w:ascii="黑体" w:hAnsi="黑体" w:eastAsia="黑体"/>
          <w:b/>
          <w:color w:val="000000"/>
          <w:sz w:val="32"/>
          <w:szCs w:val="32"/>
        </w:rPr>
      </w:pPr>
      <w:r>
        <w:rPr>
          <w:rFonts w:hint="eastAsia" w:ascii="黑体" w:hAnsi="黑体" w:eastAsia="黑体"/>
          <w:b/>
          <w:color w:val="000000"/>
          <w:sz w:val="32"/>
          <w:szCs w:val="32"/>
        </w:rPr>
        <w:t>第二条  “校园文化育人单项奖”答辩评分量化标准</w:t>
      </w:r>
    </w:p>
    <w:p>
      <w:pPr>
        <w:spacing w:line="460" w:lineRule="exact"/>
        <w:ind w:firstLine="600" w:firstLineChars="200"/>
        <w:rPr>
          <w:rFonts w:ascii="楷体_GB2312" w:eastAsia="楷体_GB2312" w:cs="仿宋_GB2312"/>
          <w:b/>
          <w:sz w:val="30"/>
          <w:szCs w:val="30"/>
        </w:rPr>
      </w:pPr>
      <w:r>
        <w:rPr>
          <w:rFonts w:hint="eastAsia" w:ascii="楷体_GB2312" w:eastAsia="楷体_GB2312" w:cs="仿宋_GB2312"/>
          <w:b/>
          <w:sz w:val="30"/>
          <w:szCs w:val="30"/>
        </w:rPr>
        <w:t>（一）总体要求</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1.内容属实，简洁明了，概括性强，重点突出。</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2.工作特色鲜明，举措得力，成效突出。</w:t>
      </w:r>
    </w:p>
    <w:p>
      <w:pPr>
        <w:spacing w:line="460" w:lineRule="exact"/>
        <w:ind w:firstLine="600" w:firstLineChars="200"/>
        <w:rPr>
          <w:rFonts w:ascii="楷体_GB2312" w:eastAsia="楷体_GB2312" w:cs="仿宋_GB2312"/>
          <w:b/>
          <w:sz w:val="30"/>
          <w:szCs w:val="30"/>
        </w:rPr>
      </w:pPr>
      <w:r>
        <w:rPr>
          <w:rFonts w:hint="eastAsia" w:ascii="楷体_GB2312" w:eastAsia="楷体_GB2312" w:cs="仿宋_GB2312"/>
          <w:b/>
          <w:sz w:val="30"/>
          <w:szCs w:val="30"/>
        </w:rPr>
        <w:t>（二）育人工作</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1.推进中华优秀传统文化教育，立足将文化活动开展和中华传统文化相结合，弘扬社会正能量，引导全院师生走进高雅艺术、非物质文化、民族民间优秀文化。</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2.突出革命文化的深刻内涵，利用重大节日契机开展形式多样、内涵丰富的革命文化教育，培育红色基因，弘扬中原大学精神，增强全院师生的知校爱校意识。</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3.创新凝练学院特色校园文化活动品牌，活动品牌充分体现学院特色，体现学生积极向上的精神风貌，体现建设文明校园的要求，体现优良校风学风，体现学生的共同意愿。</w:t>
      </w:r>
    </w:p>
    <w:p>
      <w:pPr>
        <w:spacing w:line="460" w:lineRule="exact"/>
        <w:ind w:firstLine="600" w:firstLineChars="200"/>
        <w:rPr>
          <w:rFonts w:ascii="楷体_GB2312" w:eastAsia="楷体_GB2312" w:cs="仿宋_GB2312"/>
          <w:b/>
          <w:sz w:val="30"/>
          <w:szCs w:val="30"/>
        </w:rPr>
      </w:pPr>
      <w:r>
        <w:rPr>
          <w:rFonts w:hint="eastAsia" w:ascii="楷体_GB2312" w:eastAsia="楷体_GB2312" w:cs="仿宋_GB2312"/>
          <w:b/>
          <w:sz w:val="30"/>
          <w:szCs w:val="30"/>
        </w:rPr>
        <w:t>（三）育人成效</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1.活动具有示范引领效果，在全校范围内作为学院的特色校园文化活动，学生参与度较高，在校内外具有一定的影响力，并形成品牌效应。活动具有传承性，在学院举办届数较多，或与往年相比更具有品牌特色。</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2.宣传形式多样，能够充分利用线上线下形式进行有效宣传，积极编创校园文化宣传成果，特别在优良校风学风创建、文明校园建设等方面有较好的宣传形式和工作成效。</w:t>
      </w:r>
    </w:p>
    <w:p>
      <w:pPr>
        <w:spacing w:line="460" w:lineRule="exact"/>
        <w:ind w:firstLine="600" w:firstLineChars="200"/>
        <w:rPr>
          <w:rFonts w:ascii="楷体_GB2312" w:eastAsia="楷体_GB2312" w:cs="仿宋_GB2312"/>
          <w:b/>
          <w:sz w:val="30"/>
          <w:szCs w:val="30"/>
        </w:rPr>
      </w:pPr>
      <w:r>
        <w:rPr>
          <w:rFonts w:hint="eastAsia" w:ascii="楷体_GB2312" w:eastAsia="楷体_GB2312" w:cs="仿宋_GB2312"/>
          <w:b/>
          <w:sz w:val="30"/>
          <w:szCs w:val="30"/>
        </w:rPr>
        <w:t>（四）附加项</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此项为附加项，如有以下情况，可在原有100分满分基础上另行加分，作为附加分。</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特色活动受到表彰或在相关媒体上（校级及以上）被报道。（国家级8分，省级5分，市区级或校级2分）</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校园文化育人活动和成果受到表彰或在相关媒体上（校级及以上）被报道。（国家级8分，省级5分，市区级或校级2分）</w:t>
      </w:r>
    </w:p>
    <w:p>
      <w:pPr>
        <w:spacing w:before="78" w:beforeLines="25" w:after="78" w:afterLines="25" w:line="460" w:lineRule="exact"/>
        <w:ind w:firstLine="640" w:firstLineChars="200"/>
        <w:rPr>
          <w:rFonts w:ascii="黑体" w:hAnsi="黑体" w:eastAsia="黑体"/>
          <w:b/>
          <w:color w:val="000000"/>
          <w:sz w:val="32"/>
          <w:szCs w:val="32"/>
        </w:rPr>
      </w:pPr>
      <w:r>
        <w:rPr>
          <w:rFonts w:hint="eastAsia" w:ascii="黑体" w:hAnsi="黑体" w:eastAsia="黑体"/>
          <w:b/>
          <w:color w:val="000000"/>
          <w:sz w:val="32"/>
          <w:szCs w:val="32"/>
        </w:rPr>
        <w:t>第三条  附则</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以上办法的最终解释权归共青团中南财经政法大学委员会所有。</w:t>
      </w:r>
    </w:p>
    <w:p>
      <w:pPr>
        <w:spacing w:line="460" w:lineRule="exact"/>
        <w:jc w:val="right"/>
        <w:rPr>
          <w:rFonts w:ascii="仿宋_GB2312" w:hAnsi="仿宋" w:eastAsia="仿宋_GB2312" w:cs="仿宋_GB2312"/>
          <w:sz w:val="30"/>
          <w:szCs w:val="30"/>
        </w:rPr>
      </w:pPr>
    </w:p>
    <w:p>
      <w:pPr>
        <w:spacing w:line="460" w:lineRule="exact"/>
        <w:jc w:val="right"/>
        <w:rPr>
          <w:rFonts w:ascii="仿宋_GB2312" w:hAnsi="仿宋" w:eastAsia="仿宋_GB2312" w:cs="仿宋_GB2312"/>
          <w:sz w:val="30"/>
          <w:szCs w:val="30"/>
        </w:rPr>
      </w:pPr>
    </w:p>
    <w:p>
      <w:pPr>
        <w:spacing w:line="460" w:lineRule="exact"/>
        <w:ind w:firstLine="560" w:firstLineChars="200"/>
        <w:jc w:val="right"/>
        <w:rPr>
          <w:rFonts w:ascii="仿宋_GB2312" w:hAnsi="仿宋" w:eastAsia="仿宋_GB2312"/>
          <w:color w:val="000000"/>
          <w:sz w:val="28"/>
          <w:szCs w:val="28"/>
        </w:rPr>
      </w:pPr>
      <w:r>
        <w:rPr>
          <w:rFonts w:hint="eastAsia" w:ascii="仿宋_GB2312" w:hAnsi="仿宋" w:eastAsia="仿宋_GB2312"/>
          <w:color w:val="000000"/>
          <w:sz w:val="28"/>
          <w:szCs w:val="28"/>
        </w:rPr>
        <w:t>共青团中南财经政法大学委员会</w:t>
      </w:r>
    </w:p>
    <w:p>
      <w:pPr>
        <w:spacing w:line="460" w:lineRule="exact"/>
        <w:ind w:right="934" w:rightChars="445" w:firstLine="560" w:firstLineChars="200"/>
        <w:jc w:val="right"/>
        <w:rPr>
          <w:rFonts w:ascii="仿宋_GB2312" w:hAnsi="仿宋" w:eastAsia="仿宋_GB2312"/>
          <w:color w:val="000000"/>
          <w:sz w:val="28"/>
          <w:szCs w:val="28"/>
        </w:rPr>
      </w:pPr>
      <w:r>
        <w:rPr>
          <w:rFonts w:hint="eastAsia" w:ascii="仿宋_GB2312" w:hAnsi="仿宋" w:eastAsia="仿宋_GB2312"/>
          <w:color w:val="000000"/>
          <w:sz w:val="28"/>
          <w:szCs w:val="28"/>
        </w:rPr>
        <w:t>2023年</w:t>
      </w:r>
      <w:r>
        <w:rPr>
          <w:rFonts w:ascii="仿宋_GB2312" w:hAnsi="仿宋" w:eastAsia="仿宋_GB2312"/>
          <w:color w:val="000000"/>
          <w:sz w:val="28"/>
          <w:szCs w:val="28"/>
        </w:rPr>
        <w:t>3</w:t>
      </w:r>
      <w:r>
        <w:rPr>
          <w:rFonts w:hint="eastAsia" w:ascii="仿宋_GB2312" w:hAnsi="仿宋" w:eastAsia="仿宋_GB2312"/>
          <w:color w:val="000000"/>
          <w:sz w:val="28"/>
          <w:szCs w:val="28"/>
        </w:rPr>
        <w:t>月</w:t>
      </w:r>
      <w:r>
        <w:rPr>
          <w:rFonts w:ascii="仿宋_GB2312" w:hAnsi="仿宋" w:eastAsia="仿宋_GB2312"/>
          <w:color w:val="000000"/>
          <w:sz w:val="28"/>
          <w:szCs w:val="28"/>
        </w:rPr>
        <w:t>14</w:t>
      </w:r>
      <w:r>
        <w:rPr>
          <w:rFonts w:hint="eastAsia" w:ascii="仿宋_GB2312" w:hAnsi="仿宋" w:eastAsia="仿宋_GB2312"/>
          <w:color w:val="000000"/>
          <w:sz w:val="28"/>
          <w:szCs w:val="28"/>
        </w:rPr>
        <w:t>日</w:t>
      </w:r>
    </w:p>
    <w:p>
      <w:pPr>
        <w:spacing w:before="156" w:beforeLines="50" w:after="156" w:afterLines="50" w:line="460" w:lineRule="exact"/>
        <w:jc w:val="center"/>
        <w:rPr>
          <w:rFonts w:ascii="仿宋_GB2312" w:hAnsi="仿宋_GB2312" w:eastAsia="仿宋_GB2312" w:cs="仿宋_GB2312"/>
          <w:color w:val="000000"/>
          <w:kern w:val="0"/>
          <w:sz w:val="30"/>
          <w:szCs w:val="30"/>
        </w:rPr>
      </w:pPr>
      <w:r>
        <w:rPr>
          <w:rFonts w:hint="eastAsia" w:ascii="方正小标宋简体" w:hAnsi="宋体" w:eastAsia="方正小标宋简体" w:cs="黑体"/>
          <w:bCs/>
          <w:kern w:val="0"/>
          <w:sz w:val="36"/>
          <w:szCs w:val="36"/>
          <w:lang w:bidi="ar"/>
        </w:rPr>
        <w:br w:type="page"/>
      </w:r>
    </w:p>
    <w:p>
      <w:pPr>
        <w:spacing w:before="156" w:beforeLines="50" w:after="156" w:afterLines="50" w:line="460" w:lineRule="exact"/>
        <w:jc w:val="center"/>
        <w:rPr>
          <w:rFonts w:ascii="方正小标宋简体" w:hAnsi="华文中宋" w:eastAsia="方正小标宋简体"/>
          <w:color w:val="000000"/>
          <w:sz w:val="36"/>
          <w:szCs w:val="36"/>
        </w:rPr>
      </w:pPr>
      <w:r>
        <w:rPr>
          <w:rFonts w:hint="eastAsia" w:ascii="方正小标宋简体" w:hAnsi="华文中宋" w:eastAsia="方正小标宋简体"/>
          <w:color w:val="000000"/>
          <w:sz w:val="36"/>
          <w:szCs w:val="36"/>
        </w:rPr>
        <w:t>“组织建设育人单项奖”评比办法</w:t>
      </w:r>
    </w:p>
    <w:p>
      <w:pPr>
        <w:spacing w:before="78" w:beforeLines="25" w:after="78" w:afterLines="25" w:line="460" w:lineRule="exact"/>
        <w:ind w:firstLine="640" w:firstLineChars="200"/>
        <w:rPr>
          <w:rFonts w:ascii="黑体" w:hAnsi="黑体" w:eastAsia="黑体"/>
          <w:b/>
          <w:color w:val="000000"/>
          <w:sz w:val="32"/>
          <w:szCs w:val="32"/>
        </w:rPr>
      </w:pPr>
      <w:r>
        <w:rPr>
          <w:rFonts w:hint="eastAsia" w:ascii="黑体" w:hAnsi="黑体" w:eastAsia="黑体"/>
          <w:b/>
          <w:color w:val="000000"/>
          <w:sz w:val="32"/>
          <w:szCs w:val="32"/>
        </w:rPr>
        <w:t>第一条  总则</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校团委依据各分团委评比的综合得分从高到低评选出组织建设单项奖。各院综合得分由日常工作考核得分、书面述职得分、线上展示得分、学院党委评价得分、青年评议得分五部分加权构成。计算公式为：综合得分=日常</w:t>
      </w:r>
      <w:r>
        <w:rPr>
          <w:rFonts w:ascii="仿宋_GB2312" w:hAnsi="仿宋" w:eastAsia="仿宋_GB2312"/>
          <w:color w:val="000000"/>
          <w:sz w:val="28"/>
          <w:szCs w:val="28"/>
        </w:rPr>
        <w:t>工作考核得分</w:t>
      </w:r>
      <w:r>
        <w:rPr>
          <w:rFonts w:hint="eastAsia" w:ascii="仿宋_GB2312" w:hAnsi="仿宋" w:eastAsia="仿宋_GB2312"/>
          <w:color w:val="000000"/>
          <w:sz w:val="28"/>
          <w:szCs w:val="28"/>
        </w:rPr>
        <w:t>（百分制）×10%+线下答辩（百分制）×</w:t>
      </w:r>
      <w:r>
        <w:rPr>
          <w:rFonts w:ascii="仿宋_GB2312" w:hAnsi="仿宋" w:eastAsia="仿宋_GB2312"/>
          <w:color w:val="000000"/>
          <w:sz w:val="28"/>
          <w:szCs w:val="28"/>
        </w:rPr>
        <w:t>50</w:t>
      </w:r>
      <w:r>
        <w:rPr>
          <w:rFonts w:hint="eastAsia" w:ascii="仿宋_GB2312" w:hAnsi="仿宋" w:eastAsia="仿宋_GB2312"/>
          <w:color w:val="000000"/>
          <w:sz w:val="28"/>
          <w:szCs w:val="28"/>
        </w:rPr>
        <w:t>%</w:t>
      </w:r>
      <w:r>
        <w:rPr>
          <w:rFonts w:ascii="仿宋_GB2312" w:hAnsi="仿宋" w:eastAsia="仿宋_GB2312"/>
          <w:color w:val="000000"/>
          <w:sz w:val="28"/>
          <w:szCs w:val="28"/>
        </w:rPr>
        <w:t>+</w:t>
      </w:r>
      <w:r>
        <w:rPr>
          <w:rFonts w:hint="eastAsia" w:ascii="仿宋_GB2312" w:hAnsi="仿宋" w:eastAsia="仿宋_GB2312"/>
          <w:color w:val="000000"/>
          <w:sz w:val="28"/>
          <w:szCs w:val="28"/>
        </w:rPr>
        <w:t>学院党委评价（百分制）×20%＋青年评议（百分制）×20%。</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校团委依据《共青团中南财经政法大学委员会分团委工作考核办法》及相关规定对各院进行年度考核。年度考核以学年度为单位，各分团委应当按照校团委的要求上交奖项申报表，由校团委根据各院书面述职和线上展示进行考核评分。</w:t>
      </w:r>
    </w:p>
    <w:p>
      <w:pPr>
        <w:spacing w:before="78" w:beforeLines="25" w:after="78" w:afterLines="25" w:line="460" w:lineRule="exact"/>
        <w:ind w:firstLine="640" w:firstLineChars="200"/>
        <w:rPr>
          <w:rFonts w:ascii="黑体" w:hAnsi="黑体" w:eastAsia="黑体"/>
          <w:b/>
          <w:color w:val="000000"/>
          <w:sz w:val="32"/>
          <w:szCs w:val="32"/>
        </w:rPr>
      </w:pPr>
      <w:r>
        <w:rPr>
          <w:rFonts w:hint="eastAsia" w:ascii="黑体" w:hAnsi="黑体" w:eastAsia="黑体"/>
          <w:b/>
          <w:color w:val="000000"/>
          <w:sz w:val="32"/>
          <w:szCs w:val="32"/>
        </w:rPr>
        <w:t xml:space="preserve">第二条 </w:t>
      </w:r>
      <w:r>
        <w:rPr>
          <w:rFonts w:ascii="黑体" w:hAnsi="黑体" w:eastAsia="黑体"/>
          <w:b/>
          <w:color w:val="000000"/>
          <w:sz w:val="32"/>
          <w:szCs w:val="32"/>
        </w:rPr>
        <w:t xml:space="preserve"> </w:t>
      </w:r>
      <w:r>
        <w:rPr>
          <w:rFonts w:hint="eastAsia" w:ascii="黑体" w:hAnsi="黑体" w:eastAsia="黑体"/>
          <w:b/>
          <w:color w:val="000000"/>
          <w:sz w:val="32"/>
          <w:szCs w:val="32"/>
        </w:rPr>
        <w:t>“组织建设育人单项奖”答辩评分量化标准</w:t>
      </w:r>
    </w:p>
    <w:p>
      <w:pPr>
        <w:spacing w:line="460" w:lineRule="exact"/>
        <w:ind w:firstLine="600" w:firstLineChars="200"/>
        <w:rPr>
          <w:rFonts w:ascii="楷体_GB2312" w:eastAsia="楷体_GB2312" w:cs="仿宋_GB2312"/>
          <w:b/>
          <w:sz w:val="30"/>
          <w:szCs w:val="30"/>
        </w:rPr>
      </w:pPr>
      <w:r>
        <w:rPr>
          <w:rFonts w:hint="eastAsia" w:ascii="楷体_GB2312" w:eastAsia="楷体_GB2312" w:cs="仿宋_GB2312"/>
          <w:b/>
          <w:sz w:val="30"/>
          <w:szCs w:val="30"/>
        </w:rPr>
        <w:t>（一）总体</w:t>
      </w:r>
      <w:r>
        <w:rPr>
          <w:rFonts w:ascii="楷体_GB2312" w:eastAsia="楷体_GB2312" w:cs="仿宋_GB2312"/>
          <w:b/>
          <w:sz w:val="30"/>
          <w:szCs w:val="30"/>
        </w:rPr>
        <w:t>要求</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1.内容属实，简洁明了，概括性强，重点突出。</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2.工作</w:t>
      </w:r>
      <w:r>
        <w:rPr>
          <w:rFonts w:ascii="仿宋_GB2312" w:hAnsi="仿宋" w:eastAsia="仿宋_GB2312"/>
          <w:color w:val="000000"/>
          <w:sz w:val="28"/>
          <w:szCs w:val="28"/>
        </w:rPr>
        <w:t>特色鲜明，举措得力，</w:t>
      </w:r>
      <w:r>
        <w:rPr>
          <w:rFonts w:hint="eastAsia" w:ascii="仿宋_GB2312" w:hAnsi="仿宋" w:eastAsia="仿宋_GB2312"/>
          <w:color w:val="000000"/>
          <w:sz w:val="28"/>
          <w:szCs w:val="28"/>
        </w:rPr>
        <w:t>成</w:t>
      </w:r>
      <w:r>
        <w:rPr>
          <w:rFonts w:ascii="仿宋_GB2312" w:hAnsi="仿宋" w:eastAsia="仿宋_GB2312"/>
          <w:color w:val="000000"/>
          <w:sz w:val="28"/>
          <w:szCs w:val="28"/>
        </w:rPr>
        <w:t>效突出。</w:t>
      </w:r>
    </w:p>
    <w:p>
      <w:pPr>
        <w:spacing w:line="460" w:lineRule="exact"/>
        <w:ind w:firstLine="600" w:firstLineChars="200"/>
        <w:rPr>
          <w:rFonts w:ascii="楷体_GB2312" w:eastAsia="楷体_GB2312" w:cs="仿宋_GB2312"/>
          <w:b/>
          <w:sz w:val="30"/>
          <w:szCs w:val="30"/>
        </w:rPr>
      </w:pPr>
      <w:r>
        <w:rPr>
          <w:rFonts w:hint="eastAsia" w:ascii="楷体_GB2312" w:eastAsia="楷体_GB2312" w:cs="仿宋_GB2312"/>
          <w:b/>
          <w:sz w:val="30"/>
          <w:szCs w:val="30"/>
        </w:rPr>
        <w:t>（二）组织建设工作</w:t>
      </w:r>
    </w:p>
    <w:p>
      <w:pPr>
        <w:spacing w:line="460" w:lineRule="exact"/>
        <w:ind w:firstLine="560" w:firstLineChars="200"/>
        <w:rPr>
          <w:rFonts w:ascii="仿宋_GB2312" w:hAnsi="仿宋" w:eastAsia="仿宋_GB2312"/>
          <w:b/>
          <w:bCs/>
          <w:color w:val="000000"/>
          <w:sz w:val="28"/>
          <w:szCs w:val="28"/>
        </w:rPr>
      </w:pPr>
      <w:r>
        <w:rPr>
          <w:rFonts w:hint="eastAsia" w:ascii="仿宋_GB2312" w:hAnsi="仿宋" w:eastAsia="仿宋_GB2312"/>
          <w:b/>
          <w:bCs/>
          <w:color w:val="000000"/>
          <w:sz w:val="28"/>
          <w:szCs w:val="28"/>
        </w:rPr>
        <w:t>1.思想引领</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在工作中高举中国特色社会主义伟大旗帜,深入贯彻党的二十大精神,以马克思列宁主义、毛泽东思想、邓小平理论、“三个代表”重要思想、科学发展观、习近平新时代中国特色社会主义思想为指导,贯彻落实全国高校思想政治工作会议精神，落实上级团组织各项工作部署，创新思想政治引领方式，形成具有本单位自身特色的经验做法、理论成果、文化产品，具有一定的借鉴意义和推广价值。</w:t>
      </w:r>
    </w:p>
    <w:p>
      <w:pPr>
        <w:spacing w:line="460" w:lineRule="exact"/>
        <w:ind w:firstLine="560" w:firstLineChars="200"/>
        <w:rPr>
          <w:rFonts w:ascii="仿宋_GB2312" w:hAnsi="仿宋" w:eastAsia="仿宋_GB2312"/>
          <w:b/>
          <w:bCs/>
          <w:color w:val="000000"/>
          <w:sz w:val="28"/>
          <w:szCs w:val="28"/>
        </w:rPr>
      </w:pPr>
      <w:r>
        <w:rPr>
          <w:rFonts w:hint="eastAsia" w:ascii="仿宋_GB2312" w:hAnsi="仿宋" w:eastAsia="仿宋_GB2312"/>
          <w:b/>
          <w:bCs/>
          <w:color w:val="000000"/>
          <w:sz w:val="28"/>
          <w:szCs w:val="28"/>
        </w:rPr>
        <w:t>2.组织建设</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s="仿宋_GB2312"/>
          <w:color w:val="000000"/>
          <w:sz w:val="28"/>
          <w:szCs w:val="28"/>
          <w:lang w:bidi="ar"/>
        </w:rPr>
        <w:t>（</w:t>
      </w:r>
      <w:r>
        <w:rPr>
          <w:rFonts w:hint="eastAsia" w:ascii="仿宋_GB2312" w:hAnsi="仿宋" w:eastAsia="仿宋_GB2312"/>
          <w:color w:val="000000"/>
          <w:sz w:val="28"/>
          <w:szCs w:val="28"/>
        </w:rPr>
        <w:t>1）分团委有完整清晰的《团支部职能清单》《团支部工作指导手册》《考评制度》等相关规章制度及工作年鉴，对团支部工作进行科学指导、定期考核。</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2）完善创新基层团支部的组织设置方式、工作活动项目，促进支部成员共同参与和推进团支部活力建设，进一步提升“智慧团建”系统在组织管理中的作用，有条不紊推进基层团支部对标定级、学社衔接、入党推优、团内激励以及党史学习教育各项工作。</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（3）分团委加强对基层团支部线下、线上工作的指导，线下给予团支部更多工作资源的倾斜，线上鼓励发展团支部新媒体平台，进一步推进网络团建。</w:t>
      </w:r>
    </w:p>
    <w:p>
      <w:pPr>
        <w:spacing w:line="460" w:lineRule="exact"/>
        <w:ind w:firstLine="560" w:firstLineChars="200"/>
        <w:rPr>
          <w:rFonts w:ascii="仿宋_GB2312" w:hAnsi="仿宋" w:eastAsia="仿宋_GB2312"/>
          <w:b/>
          <w:bCs/>
          <w:color w:val="000000"/>
          <w:sz w:val="28"/>
          <w:szCs w:val="28"/>
        </w:rPr>
      </w:pPr>
      <w:r>
        <w:rPr>
          <w:rFonts w:hint="eastAsia" w:ascii="仿宋_GB2312" w:hAnsi="仿宋" w:eastAsia="仿宋_GB2312"/>
          <w:b/>
          <w:bCs/>
          <w:color w:val="000000"/>
          <w:sz w:val="28"/>
          <w:szCs w:val="28"/>
        </w:rPr>
        <w:t>3.制度建设</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（1）分团委基础团务工作、制度建设执行情况良好，督促团支部落实“三会两制一课”制度，团支部工作手册按时收集、记录清晰，并将对应工作同步录入于网上共青团“智慧团建”。</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（2）分团委组织机构健全，各部门职能分配合理，干部选任得当；分团委换届符合相关规定；部门职能分配，干部培养制度和选拔制度合理；及时向校团委和学院党委请示与汇报团学组织换届情况。</w:t>
      </w:r>
    </w:p>
    <w:p>
      <w:pPr>
        <w:spacing w:line="460" w:lineRule="exact"/>
        <w:ind w:firstLine="560" w:firstLineChars="200"/>
        <w:rPr>
          <w:rFonts w:ascii="仿宋_GB2312" w:hAnsi="仿宋" w:eastAsia="仿宋_GB2312"/>
          <w:b/>
          <w:bCs/>
          <w:color w:val="000000"/>
          <w:sz w:val="28"/>
          <w:szCs w:val="28"/>
        </w:rPr>
      </w:pPr>
      <w:r>
        <w:rPr>
          <w:rFonts w:hint="eastAsia" w:ascii="仿宋_GB2312" w:hAnsi="仿宋" w:eastAsia="仿宋_GB2312"/>
          <w:b/>
          <w:bCs/>
          <w:color w:val="000000"/>
          <w:sz w:val="28"/>
          <w:szCs w:val="28"/>
        </w:rPr>
        <w:t>4.作风建设</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（1）分团委积极贯彻落实“从严治党”的要求，全面“从严治团”，落实党的群团工作会议精神，加强自身建设，强“三性”，去“四化”，切实履行组织、引导、服务青年,维护团员青年合法权益的职能。</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（2）分团委广泛开展“走进青年、转变作风、改进工作”大宣传大调研活动，围绕“团干部如何健康成长大讨论”开展主题活动，密切与各级团组织和广大基层团员青年之间的联系。</w:t>
      </w:r>
    </w:p>
    <w:p>
      <w:pPr>
        <w:spacing w:line="460" w:lineRule="exact"/>
        <w:ind w:firstLine="600" w:firstLineChars="200"/>
        <w:rPr>
          <w:rFonts w:ascii="楷体_GB2312" w:eastAsia="楷体_GB2312" w:cs="仿宋_GB2312"/>
          <w:b/>
          <w:sz w:val="30"/>
          <w:szCs w:val="30"/>
        </w:rPr>
      </w:pPr>
      <w:r>
        <w:rPr>
          <w:rFonts w:hint="eastAsia" w:ascii="楷体_GB2312" w:eastAsia="楷体_GB2312" w:cs="仿宋_GB2312"/>
          <w:b/>
          <w:sz w:val="30"/>
          <w:szCs w:val="30"/>
        </w:rPr>
        <w:t>（三）附加项</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如有以下情况，可在原有100分满分基础上另行加分，作为附加分：</w:t>
      </w:r>
    </w:p>
    <w:p>
      <w:pPr>
        <w:spacing w:line="460" w:lineRule="exact"/>
        <w:ind w:firstLine="560" w:firstLineChars="200"/>
        <w:rPr>
          <w:rFonts w:ascii="仿宋_GB2312" w:hAnsi="仿宋" w:eastAsia="仿宋_GB2312"/>
          <w:color w:val="000000"/>
          <w:sz w:val="28"/>
          <w:szCs w:val="28"/>
        </w:rPr>
      </w:pPr>
      <w:r>
        <w:rPr>
          <w:rFonts w:ascii="仿宋_GB2312" w:hAnsi="仿宋" w:eastAsia="仿宋_GB2312"/>
          <w:color w:val="000000"/>
          <w:sz w:val="28"/>
          <w:szCs w:val="28"/>
        </w:rPr>
        <w:t>1</w:t>
      </w:r>
      <w:r>
        <w:rPr>
          <w:rFonts w:hint="eastAsia" w:ascii="仿宋_GB2312" w:hAnsi="仿宋" w:eastAsia="仿宋_GB2312"/>
          <w:color w:val="000000"/>
          <w:sz w:val="28"/>
          <w:szCs w:val="28"/>
        </w:rPr>
        <w:t>.组织开展的特色活动受到校级或市区级宣传平台报道，每次加２分，受到省级新闻传媒报道，每次加5分，受到国家级新闻传媒报道，每次加8分。</w:t>
      </w:r>
    </w:p>
    <w:p>
      <w:pPr>
        <w:spacing w:before="78" w:beforeLines="25" w:after="78" w:afterLines="25" w:line="460" w:lineRule="exact"/>
        <w:ind w:firstLine="640" w:firstLineChars="200"/>
        <w:rPr>
          <w:rFonts w:ascii="黑体" w:hAnsi="黑体" w:eastAsia="黑体"/>
          <w:b/>
          <w:color w:val="000000"/>
          <w:sz w:val="32"/>
          <w:szCs w:val="32"/>
        </w:rPr>
      </w:pPr>
      <w:r>
        <w:rPr>
          <w:rFonts w:hint="eastAsia" w:ascii="黑体" w:hAnsi="黑体" w:eastAsia="黑体"/>
          <w:b/>
          <w:color w:val="000000"/>
          <w:sz w:val="32"/>
          <w:szCs w:val="32"/>
        </w:rPr>
        <w:t xml:space="preserve">第三条 </w:t>
      </w:r>
      <w:r>
        <w:rPr>
          <w:rFonts w:ascii="黑体" w:hAnsi="黑体" w:eastAsia="黑体"/>
          <w:b/>
          <w:color w:val="000000"/>
          <w:sz w:val="32"/>
          <w:szCs w:val="32"/>
        </w:rPr>
        <w:t xml:space="preserve"> 附则</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以上办法的最终解释权归共青团中南财经政法大学委员会所有。</w:t>
      </w:r>
    </w:p>
    <w:p>
      <w:pPr>
        <w:spacing w:line="460" w:lineRule="exact"/>
        <w:ind w:right="26" w:firstLine="560" w:firstLineChars="200"/>
        <w:jc w:val="right"/>
        <w:rPr>
          <w:rFonts w:ascii="仿宋_GB2312" w:hAnsi="仿宋" w:eastAsia="仿宋_GB2312" w:cs="仿宋_GB2312"/>
          <w:color w:val="000000"/>
          <w:sz w:val="28"/>
          <w:szCs w:val="28"/>
          <w:lang w:bidi="ar"/>
        </w:rPr>
      </w:pPr>
    </w:p>
    <w:p>
      <w:pPr>
        <w:spacing w:line="460" w:lineRule="exact"/>
        <w:ind w:right="26" w:firstLine="560" w:firstLineChars="200"/>
        <w:jc w:val="right"/>
        <w:rPr>
          <w:rFonts w:ascii="仿宋_GB2312" w:hAnsi="仿宋" w:eastAsia="仿宋_GB2312" w:cs="仿宋_GB2312"/>
          <w:color w:val="000000"/>
          <w:sz w:val="28"/>
          <w:szCs w:val="28"/>
          <w:lang w:bidi="ar"/>
        </w:rPr>
      </w:pPr>
    </w:p>
    <w:p>
      <w:pPr>
        <w:spacing w:line="460" w:lineRule="exact"/>
        <w:jc w:val="right"/>
        <w:rPr>
          <w:rFonts w:ascii="仿宋_GB2312" w:hAnsi="仿宋" w:eastAsia="仿宋_GB2312"/>
          <w:color w:val="000000"/>
          <w:sz w:val="28"/>
          <w:szCs w:val="28"/>
        </w:rPr>
      </w:pPr>
      <w:r>
        <w:rPr>
          <w:rFonts w:hint="eastAsia" w:ascii="仿宋_GB2312" w:hAnsi="仿宋" w:eastAsia="仿宋_GB2312"/>
          <w:color w:val="000000"/>
          <w:sz w:val="28"/>
          <w:szCs w:val="28"/>
        </w:rPr>
        <w:t>共青团中南财经政法大学委员会</w:t>
      </w:r>
    </w:p>
    <w:p>
      <w:pPr>
        <w:spacing w:line="460" w:lineRule="exact"/>
        <w:ind w:right="935"/>
        <w:jc w:val="right"/>
        <w:rPr>
          <w:rFonts w:ascii="仿宋_GB2312" w:hAnsi="仿宋" w:eastAsia="仿宋_GB2312"/>
          <w:color w:val="000000"/>
          <w:sz w:val="28"/>
          <w:szCs w:val="28"/>
        </w:rPr>
      </w:pPr>
      <w:r>
        <w:rPr>
          <w:rFonts w:hint="eastAsia" w:ascii="仿宋_GB2312" w:hAnsi="仿宋" w:eastAsia="仿宋_GB2312"/>
          <w:color w:val="000000"/>
          <w:sz w:val="28"/>
          <w:szCs w:val="28"/>
        </w:rPr>
        <w:t>2023年</w:t>
      </w:r>
      <w:r>
        <w:rPr>
          <w:rFonts w:ascii="仿宋_GB2312" w:hAnsi="仿宋" w:eastAsia="仿宋_GB2312"/>
          <w:color w:val="000000"/>
          <w:sz w:val="28"/>
          <w:szCs w:val="28"/>
        </w:rPr>
        <w:t>3</w:t>
      </w:r>
      <w:r>
        <w:rPr>
          <w:rFonts w:hint="eastAsia" w:ascii="仿宋_GB2312" w:hAnsi="仿宋" w:eastAsia="仿宋_GB2312"/>
          <w:color w:val="000000"/>
          <w:sz w:val="28"/>
          <w:szCs w:val="28"/>
        </w:rPr>
        <w:t>月</w:t>
      </w:r>
      <w:r>
        <w:rPr>
          <w:rFonts w:ascii="仿宋_GB2312" w:hAnsi="仿宋" w:eastAsia="仿宋_GB2312"/>
          <w:color w:val="000000"/>
          <w:sz w:val="28"/>
          <w:szCs w:val="28"/>
        </w:rPr>
        <w:t>14</w:t>
      </w:r>
      <w:r>
        <w:rPr>
          <w:rFonts w:hint="eastAsia" w:ascii="仿宋_GB2312" w:hAnsi="仿宋" w:eastAsia="仿宋_GB2312"/>
          <w:color w:val="000000"/>
          <w:sz w:val="28"/>
          <w:szCs w:val="28"/>
        </w:rPr>
        <w:t>日</w:t>
      </w:r>
    </w:p>
    <w:p>
      <w:pPr>
        <w:spacing w:before="156" w:beforeLines="50" w:after="156" w:afterLines="50" w:line="460" w:lineRule="exact"/>
        <w:ind w:right="1200"/>
        <w:jc w:val="center"/>
        <w:rPr>
          <w:rFonts w:ascii="仿宋_GB2312" w:hAnsi="仿宋" w:eastAsia="仿宋_GB2312"/>
          <w:color w:val="000000"/>
          <w:sz w:val="28"/>
          <w:szCs w:val="28"/>
        </w:rPr>
      </w:pPr>
      <w:r>
        <w:rPr>
          <w:rFonts w:hint="eastAsia" w:ascii="仿宋_GB2312" w:hAnsi="仿宋_GB2312" w:eastAsia="仿宋_GB2312" w:cs="仿宋_GB2312"/>
          <w:color w:val="000000"/>
          <w:kern w:val="0"/>
          <w:sz w:val="30"/>
          <w:szCs w:val="30"/>
        </w:rPr>
        <w:br w:type="page"/>
      </w:r>
    </w:p>
    <w:p>
      <w:pPr>
        <w:spacing w:before="156" w:beforeLines="50" w:after="156" w:afterLines="50" w:line="460" w:lineRule="exact"/>
        <w:jc w:val="center"/>
        <w:rPr>
          <w:rFonts w:ascii="方正小标宋简体" w:hAnsi="华文中宋" w:eastAsia="方正小标宋简体"/>
          <w:color w:val="000000"/>
          <w:sz w:val="36"/>
          <w:szCs w:val="36"/>
        </w:rPr>
      </w:pPr>
      <w:r>
        <w:rPr>
          <w:rFonts w:hint="eastAsia" w:ascii="方正小标宋简体" w:hAnsi="华文中宋" w:eastAsia="方正小标宋简体"/>
          <w:color w:val="000000"/>
          <w:sz w:val="36"/>
          <w:szCs w:val="36"/>
        </w:rPr>
        <w:t>“网络宣传育人单项奖”评选办法</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为展示我校团学工作改革发展成果和广大团员青年良好精神风貌，引导青年学生积极践行社会主义核心价值观，传播青春正能量，科学评价学院分团委（团总支）网络宣传育人工作成效，特制定本办法。</w:t>
      </w:r>
    </w:p>
    <w:p>
      <w:pPr>
        <w:spacing w:before="78" w:beforeLines="25" w:after="78" w:afterLines="25" w:line="460" w:lineRule="exact"/>
        <w:ind w:firstLine="640" w:firstLineChars="200"/>
        <w:rPr>
          <w:rFonts w:ascii="黑体" w:hAnsi="黑体" w:eastAsia="黑体"/>
          <w:b/>
          <w:color w:val="000000"/>
          <w:sz w:val="32"/>
          <w:szCs w:val="32"/>
        </w:rPr>
      </w:pPr>
      <w:r>
        <w:rPr>
          <w:rFonts w:hint="eastAsia" w:ascii="黑体" w:hAnsi="黑体" w:eastAsia="黑体"/>
          <w:b/>
          <w:color w:val="000000"/>
          <w:sz w:val="32"/>
          <w:szCs w:val="32"/>
        </w:rPr>
        <w:t>第一条  总则</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根据申报单位的综合得分从高到低评选出网络宣传育人单项奖。综合得分由日常宣传工作、新媒体建设工作、外宣成果三个部分加权构成。计算公式为：综合得分=日常宣传得分×50%+新媒体建设工作30%+外宣评比得分×20%。</w:t>
      </w:r>
    </w:p>
    <w:p>
      <w:pPr>
        <w:spacing w:before="78" w:beforeLines="25" w:after="78" w:afterLines="25" w:line="460" w:lineRule="exact"/>
        <w:ind w:firstLine="640" w:firstLineChars="200"/>
        <w:rPr>
          <w:rFonts w:ascii="黑体" w:hAnsi="黑体" w:eastAsia="黑体"/>
          <w:b/>
          <w:color w:val="000000"/>
          <w:sz w:val="32"/>
          <w:szCs w:val="32"/>
        </w:rPr>
      </w:pPr>
      <w:r>
        <w:rPr>
          <w:rFonts w:hint="eastAsia" w:ascii="黑体" w:hAnsi="黑体" w:eastAsia="黑体"/>
          <w:b/>
          <w:color w:val="000000"/>
          <w:sz w:val="32"/>
          <w:szCs w:val="32"/>
        </w:rPr>
        <w:t>第二条  日常宣传工作考核</w:t>
      </w:r>
    </w:p>
    <w:p>
      <w:pPr>
        <w:spacing w:line="460" w:lineRule="exact"/>
        <w:ind w:firstLine="600" w:firstLineChars="200"/>
        <w:rPr>
          <w:rFonts w:ascii="楷体_GB2312" w:eastAsia="楷体_GB2312" w:cs="仿宋_GB2312"/>
          <w:b/>
          <w:sz w:val="30"/>
          <w:szCs w:val="30"/>
        </w:rPr>
      </w:pPr>
      <w:r>
        <w:rPr>
          <w:rFonts w:hint="eastAsia" w:ascii="楷体_GB2312" w:eastAsia="楷体_GB2312" w:cs="仿宋_GB2312"/>
          <w:b/>
          <w:sz w:val="30"/>
          <w:szCs w:val="30"/>
        </w:rPr>
        <w:t>（一）组织建设（20分）</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分团委（团总支）高度重视宣传工作，团属宣传组织机构健全，部门设置科学合理，职能分工清晰明确，各项宣传工作制度规范，干部选拔换届、培训考核机制完善，为宣传工作开展提供良好条件和平台，各项宣传工作有序开展。</w:t>
      </w:r>
    </w:p>
    <w:p>
      <w:pPr>
        <w:spacing w:line="460" w:lineRule="exact"/>
        <w:ind w:firstLine="600" w:firstLineChars="200"/>
        <w:rPr>
          <w:rFonts w:ascii="楷体_GB2312" w:eastAsia="楷体_GB2312" w:cs="仿宋_GB2312"/>
          <w:b/>
          <w:sz w:val="30"/>
          <w:szCs w:val="30"/>
        </w:rPr>
      </w:pPr>
      <w:r>
        <w:rPr>
          <w:rFonts w:hint="eastAsia" w:ascii="楷体_GB2312" w:eastAsia="楷体_GB2312" w:cs="仿宋_GB2312"/>
          <w:b/>
          <w:sz w:val="30"/>
          <w:szCs w:val="30"/>
        </w:rPr>
        <w:t>（二）阵地建设（20分）</w:t>
      </w:r>
    </w:p>
    <w:p>
      <w:pPr>
        <w:spacing w:line="460" w:lineRule="exact"/>
        <w:ind w:firstLine="560" w:firstLineChars="200"/>
        <w:rPr>
          <w:rFonts w:ascii="仿宋_GB2312" w:hAnsi="仿宋" w:eastAsia="仿宋_GB2312"/>
          <w:b/>
          <w:bCs/>
          <w:color w:val="000000"/>
          <w:sz w:val="28"/>
          <w:szCs w:val="28"/>
        </w:rPr>
      </w:pPr>
      <w:r>
        <w:rPr>
          <w:rFonts w:hint="eastAsia" w:ascii="仿宋_GB2312" w:hAnsi="仿宋" w:eastAsia="仿宋_GB2312"/>
          <w:b/>
          <w:bCs/>
          <w:color w:val="000000"/>
          <w:sz w:val="28"/>
          <w:szCs w:val="28"/>
        </w:rPr>
        <w:t>1.宣传工作交流培训（5分）</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定期召开学院团学组织宣传工作会议，按时按要求参加全校团学组织宣传工作交流会议；定期召开学院团学组织宣传工作培训会议，按时按要求参加全校团学组织宣传工作培训会议，较好的完成培训任务。</w:t>
      </w:r>
    </w:p>
    <w:p>
      <w:pPr>
        <w:spacing w:line="460" w:lineRule="exact"/>
        <w:ind w:firstLine="560" w:firstLineChars="200"/>
        <w:rPr>
          <w:rFonts w:ascii="仿宋_GB2312" w:hAnsi="仿宋" w:eastAsia="仿宋_GB2312"/>
          <w:b/>
          <w:bCs/>
          <w:color w:val="000000"/>
          <w:sz w:val="28"/>
          <w:szCs w:val="28"/>
        </w:rPr>
      </w:pPr>
      <w:r>
        <w:rPr>
          <w:rFonts w:hint="eastAsia" w:ascii="仿宋_GB2312" w:hAnsi="仿宋" w:eastAsia="仿宋_GB2312"/>
          <w:b/>
          <w:bCs/>
          <w:color w:val="000000"/>
          <w:sz w:val="28"/>
          <w:szCs w:val="28"/>
        </w:rPr>
        <w:t>2.网络宣传工作月报表（5分）</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按照校团委宣传部提供的网络宣传工作月报表模板规范填写，按时提交，每月日常考核工作良好。</w:t>
      </w:r>
    </w:p>
    <w:p>
      <w:pPr>
        <w:spacing w:line="460" w:lineRule="exact"/>
        <w:ind w:firstLine="560" w:firstLineChars="200"/>
        <w:rPr>
          <w:rFonts w:ascii="仿宋_GB2312" w:hAnsi="仿宋" w:eastAsia="仿宋_GB2312"/>
          <w:b/>
          <w:bCs/>
          <w:color w:val="000000"/>
          <w:sz w:val="28"/>
          <w:szCs w:val="28"/>
        </w:rPr>
      </w:pPr>
      <w:r>
        <w:rPr>
          <w:rFonts w:hint="eastAsia" w:ascii="仿宋_GB2312" w:hAnsi="仿宋" w:eastAsia="仿宋_GB2312"/>
          <w:b/>
          <w:bCs/>
          <w:color w:val="000000"/>
          <w:sz w:val="28"/>
          <w:szCs w:val="28"/>
        </w:rPr>
        <w:t>3.团学集市申请（5分）</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按照“团学集市”申请流程及要求借用团学活动场地，试用期间保持“团学集市”使用场地清洁，用后按时回收有关物资。</w:t>
      </w:r>
    </w:p>
    <w:p>
      <w:pPr>
        <w:spacing w:line="460" w:lineRule="exact"/>
        <w:ind w:firstLine="560" w:firstLineChars="200"/>
        <w:rPr>
          <w:rFonts w:ascii="仿宋_GB2312" w:hAnsi="仿宋" w:eastAsia="仿宋_GB2312"/>
          <w:b/>
          <w:bCs/>
          <w:color w:val="000000"/>
          <w:sz w:val="28"/>
          <w:szCs w:val="28"/>
        </w:rPr>
      </w:pPr>
      <w:r>
        <w:rPr>
          <w:rFonts w:hint="eastAsia" w:ascii="仿宋_GB2312" w:hAnsi="仿宋" w:eastAsia="仿宋_GB2312"/>
          <w:b/>
          <w:bCs/>
          <w:color w:val="000000"/>
          <w:sz w:val="28"/>
          <w:szCs w:val="28"/>
        </w:rPr>
        <w:t>4.宣传物品借用（5分）</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按照宣传物品借用流程及要求借用宣传用品，妥善使用和保管，并按期归还。</w:t>
      </w:r>
    </w:p>
    <w:p>
      <w:pPr>
        <w:spacing w:line="460" w:lineRule="exact"/>
        <w:ind w:firstLine="600" w:firstLineChars="200"/>
        <w:rPr>
          <w:rFonts w:ascii="楷体_GB2312" w:eastAsia="楷体_GB2312" w:cs="仿宋_GB2312"/>
          <w:b/>
          <w:sz w:val="30"/>
          <w:szCs w:val="30"/>
        </w:rPr>
      </w:pPr>
      <w:r>
        <w:rPr>
          <w:rFonts w:hint="eastAsia" w:ascii="楷体_GB2312" w:eastAsia="楷体_GB2312" w:cs="仿宋_GB2312"/>
          <w:b/>
          <w:sz w:val="30"/>
          <w:szCs w:val="30"/>
        </w:rPr>
        <w:t>（三）典型培育（20分）</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深入培育挖掘青年学生中的优秀典型，通过多种渠道对其先进事迹进行宣传报道，引领青年见贤思齐，崇德向善。积极配合校团委及上级团组织做好“青年文明书香号”“大学生自强之星”“向上向善好青年”“中南好青年”等先进典型选树及推荐工作。</w:t>
      </w:r>
    </w:p>
    <w:p>
      <w:pPr>
        <w:spacing w:line="460" w:lineRule="exact"/>
        <w:ind w:firstLine="600" w:firstLineChars="200"/>
        <w:rPr>
          <w:rFonts w:ascii="楷体_GB2312" w:eastAsia="楷体_GB2312" w:cs="仿宋_GB2312"/>
          <w:b/>
          <w:sz w:val="30"/>
          <w:szCs w:val="30"/>
          <w:highlight w:val="yellow"/>
        </w:rPr>
      </w:pPr>
      <w:r>
        <w:rPr>
          <w:rFonts w:hint="eastAsia" w:ascii="楷体_GB2312" w:eastAsia="楷体_GB2312" w:cs="仿宋_GB2312"/>
          <w:b/>
          <w:sz w:val="30"/>
          <w:szCs w:val="30"/>
        </w:rPr>
        <w:t>（五）青年大学习参学率（40分）</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积极号召全院团员青年参与学习“青年大学习”网上主题团课，宣传引导团员青年将理论学习与社会实践相结合，推动学习到基层、学习常态化、学习有成效、学习有创新、学习有成果，提升团组织的影响力、战斗力、凝聚力和号召力，综合运用新媒体技术和网络文化产品，采取移动化、可视化、社交化的手段，把党的声音通过网络“发送”到青年心中。依据学院“青年大学习”平均参学率由高到低排名计分，1-3名计50分，4-6名计40分，7-9名计30分，10-12名计20分，13-17名计10分。</w:t>
      </w:r>
    </w:p>
    <w:p>
      <w:pPr>
        <w:spacing w:before="78" w:beforeLines="25" w:after="78" w:afterLines="25" w:line="460" w:lineRule="exact"/>
        <w:ind w:firstLine="640" w:firstLineChars="200"/>
        <w:rPr>
          <w:rFonts w:ascii="黑体" w:hAnsi="黑体" w:eastAsia="黑体"/>
          <w:b/>
          <w:color w:val="000000"/>
          <w:sz w:val="32"/>
          <w:szCs w:val="32"/>
        </w:rPr>
      </w:pPr>
      <w:r>
        <w:rPr>
          <w:rFonts w:hint="eastAsia" w:ascii="黑体" w:hAnsi="黑体" w:eastAsia="黑体"/>
          <w:b/>
          <w:color w:val="000000"/>
          <w:sz w:val="32"/>
          <w:szCs w:val="32"/>
        </w:rPr>
        <w:t>第三条  新媒体建设工作考核</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新媒体建设成果主要考量学院团委在新媒体建设及其宣传文化产品开发方面的工作成效，主要平台包括微信、微博、QQ空间、青年之声微邦、校级官方网站等平台。</w:t>
      </w:r>
    </w:p>
    <w:p>
      <w:pPr>
        <w:spacing w:line="460" w:lineRule="exact"/>
        <w:ind w:firstLine="600" w:firstLineChars="200"/>
        <w:rPr>
          <w:rFonts w:ascii="楷体_GB2312" w:eastAsia="楷体_GB2312" w:cs="仿宋_GB2312"/>
          <w:b/>
          <w:sz w:val="30"/>
          <w:szCs w:val="30"/>
        </w:rPr>
      </w:pPr>
      <w:r>
        <w:rPr>
          <w:rFonts w:hint="eastAsia" w:ascii="楷体_GB2312" w:eastAsia="楷体_GB2312" w:cs="仿宋_GB2312"/>
          <w:b/>
          <w:sz w:val="30"/>
          <w:szCs w:val="30"/>
        </w:rPr>
        <w:t>（一）微博、微信、QQ平台建设及共青团网站供稿（50分）</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认真宣传贯彻落实上级党团组织的工作部署和要求，结合共青团工作重点，做好思想引领，弘扬社会主义核心价值观，带领广大团员青年坚定信念跟党走。加强“网上共青团”建设，健全新媒体宣传机制，提升团属新媒体宣传工作活力，严格规范管理学院团学组织宣传平台，积极向上级团学组织宣传推送基层团学组织典型经验做法和先进，着力提升新闻宣传舆论引导能力。</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学院团委（团总支）官方平台积极转载校团委及上级团学组织要求的推文。积极向校团委及上级团学组织推送优秀稿件及素材，推动我校共青团宣传战线上下联动。积极规范推送优秀宣传稿件，使共青团网站成为展现团员青春动态的“大舞台”，思想引领的“风向标”。</w:t>
      </w:r>
    </w:p>
    <w:p>
      <w:pPr>
        <w:spacing w:line="460" w:lineRule="exact"/>
        <w:ind w:firstLine="600" w:firstLineChars="200"/>
        <w:rPr>
          <w:rFonts w:ascii="楷体_GB2312" w:eastAsia="楷体_GB2312" w:cs="仿宋_GB2312"/>
          <w:b/>
          <w:sz w:val="30"/>
          <w:szCs w:val="30"/>
        </w:rPr>
      </w:pPr>
      <w:r>
        <w:rPr>
          <w:rFonts w:hint="eastAsia" w:ascii="楷体_GB2312" w:eastAsia="楷体_GB2312" w:cs="仿宋_GB2312"/>
          <w:b/>
          <w:sz w:val="30"/>
          <w:szCs w:val="30"/>
        </w:rPr>
        <w:t>（二）积极参加新媒体赛事（50分）</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积极参加校团委及其上级部门组织组织的新媒体赛事并获奖，其中国家级奖项一等奖20分、二等奖18分，三等奖15分；省级奖项一等奖15分、二等奖12分，三等奖10分；市区级或校级一等奖10分、二等奖8分，三等奖5分，经推荐参赛但未获奖5分。</w:t>
      </w:r>
    </w:p>
    <w:p>
      <w:pPr>
        <w:spacing w:before="78" w:beforeLines="25" w:after="78" w:afterLines="25" w:line="460" w:lineRule="exact"/>
        <w:ind w:firstLine="640" w:firstLineChars="200"/>
        <w:rPr>
          <w:rFonts w:ascii="黑体" w:hAnsi="黑体" w:eastAsia="黑体"/>
          <w:b/>
          <w:color w:val="000000"/>
          <w:sz w:val="32"/>
          <w:szCs w:val="32"/>
        </w:rPr>
      </w:pPr>
      <w:r>
        <w:rPr>
          <w:rFonts w:hint="eastAsia" w:ascii="黑体" w:hAnsi="黑体" w:eastAsia="黑体"/>
          <w:b/>
          <w:color w:val="000000"/>
          <w:sz w:val="32"/>
          <w:szCs w:val="32"/>
        </w:rPr>
        <w:t>第四条  外宣成果考核</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各院团学组织及全日制在校生在各类报纸、杂志、电台、电视台、网站、官方微信及全国通用性APP等网络媒体平台上公开发表的关于我校团学活动及团员青年的正面文化宣传报道均属于外宣成果（不包含有偿新闻）。</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外宣成果须按照以下要求提供有效证明材料：刊有作者作品的报纸、杂志原件；电台、电视台的用稿通知或播放信息；在国内主要门户网站上发表的网站名称、日期和主要内容。具体评分量化办法为：起评分为60分，按外宣成果的报纸(广播电台)级别、体裁及报道版面给予加分，上不封顶(详见下表)。</w:t>
      </w:r>
    </w:p>
    <w:tbl>
      <w:tblPr>
        <w:tblStyle w:val="7"/>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817"/>
        <w:gridCol w:w="1592"/>
        <w:gridCol w:w="1593"/>
        <w:gridCol w:w="1651"/>
        <w:gridCol w:w="160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0" w:hRule="atLeast"/>
          <w:jc w:val="center"/>
        </w:trPr>
        <w:tc>
          <w:tcPr>
            <w:tcW w:w="181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黑体" w:hAnsi="黑体" w:eastAsia="黑体" w:cs="仿宋"/>
                <w:bCs/>
                <w:sz w:val="30"/>
                <w:szCs w:val="30"/>
              </w:rPr>
            </w:pPr>
            <w:r>
              <w:rPr>
                <w:rFonts w:hint="eastAsia" w:ascii="黑体" w:hAnsi="黑体" w:eastAsia="黑体" w:cs="仿宋"/>
                <w:bCs/>
                <w:sz w:val="30"/>
                <w:szCs w:val="30"/>
                <w:lang w:bidi="ar"/>
              </w:rPr>
              <w:t>种  类</w:t>
            </w:r>
          </w:p>
        </w:tc>
        <w:tc>
          <w:tcPr>
            <w:tcW w:w="6441"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黑体" w:hAnsi="黑体" w:eastAsia="黑体" w:cs="仿宋"/>
                <w:bCs/>
                <w:sz w:val="30"/>
                <w:szCs w:val="30"/>
              </w:rPr>
            </w:pPr>
            <w:r>
              <w:rPr>
                <w:rFonts w:hint="eastAsia" w:ascii="黑体" w:hAnsi="黑体" w:eastAsia="黑体" w:cs="仿宋"/>
                <w:bCs/>
                <w:sz w:val="30"/>
                <w:szCs w:val="30"/>
                <w:lang w:bidi="ar"/>
              </w:rPr>
              <w:t>计分标准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4" w:hRule="atLeast"/>
          <w:jc w:val="center"/>
        </w:trPr>
        <w:tc>
          <w:tcPr>
            <w:tcW w:w="1817"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仿宋" w:eastAsia="仿宋_GB2312" w:cs="仿宋"/>
                <w:b/>
                <w:sz w:val="28"/>
                <w:szCs w:val="28"/>
                <w:lang w:bidi="ar"/>
              </w:rPr>
            </w:pPr>
            <w:r>
              <w:rPr>
                <w:rFonts w:hint="eastAsia" w:ascii="仿宋_GB2312" w:hAnsi="仿宋" w:eastAsia="仿宋_GB2312" w:cs="仿宋"/>
                <w:b/>
                <w:sz w:val="28"/>
                <w:szCs w:val="28"/>
                <w:lang w:bidi="ar"/>
              </w:rPr>
              <w:t>报  纸</w:t>
            </w:r>
          </w:p>
        </w:tc>
        <w:tc>
          <w:tcPr>
            <w:tcW w:w="1592" w:type="dxa"/>
            <w:tcBorders>
              <w:top w:val="single" w:color="auto" w:sz="4" w:space="0"/>
              <w:left w:val="single" w:color="auto" w:sz="4" w:space="0"/>
              <w:bottom w:val="single" w:color="auto" w:sz="4" w:space="0"/>
              <w:right w:val="single" w:color="auto" w:sz="4" w:space="0"/>
            </w:tcBorders>
          </w:tcPr>
          <w:p>
            <w:pPr>
              <w:spacing w:line="460" w:lineRule="exact"/>
              <w:rPr>
                <w:rFonts w:ascii="仿宋_GB2312" w:hAnsi="仿宋" w:eastAsia="仿宋_GB2312" w:cs="仿宋"/>
                <w:sz w:val="28"/>
                <w:szCs w:val="28"/>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9525</wp:posOffset>
                      </wp:positionV>
                      <wp:extent cx="695325" cy="590550"/>
                      <wp:effectExtent l="0" t="0" r="28575" b="19050"/>
                      <wp:wrapNone/>
                      <wp:docPr id="2" name="直接箭头连接符 2"/>
                      <wp:cNvGraphicFramePr/>
                      <a:graphic xmlns:a="http://schemas.openxmlformats.org/drawingml/2006/main">
                        <a:graphicData uri="http://schemas.microsoft.com/office/word/2010/wordprocessingShape">
                          <wps:wsp>
                            <wps:cNvCnPr/>
                            <wps:spPr>
                              <a:xfrm flipH="1" flipV="1">
                                <a:off x="0" y="0"/>
                                <a:ext cx="695325" cy="5905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 y;margin-left:2.7pt;margin-top:0.75pt;height:46.5pt;width:54.75pt;z-index:251659264;mso-width-relative:page;mso-height-relative:page;" filled="f" stroked="t" coordsize="21600,21600" o:gfxdata="UEsDBAoAAAAAAIdO4kAAAAAAAAAAAAAAAAAEAAAAZHJzL1BLAwQUAAAACACHTuJAoI63btYAAAAG&#10;AQAADwAAAGRycy9kb3ducmV2LnhtbE2OzU7CQBSF9ya+w+SasDEyLWlRam9ZkEAkLohAWE8717ax&#10;c6fpDBR9eoeVLs9Pzvny5dV04kKDay0jxNMIBHFldcs1wvGwfnoB4bxirTrLhPBNDpbF/V2uMm1H&#10;/qDL3tcijLDLFELjfZ9J6aqGjHJT2xOH7NMORvkgh1rqQY1h3HRyFkVzaVTL4aFRPa0aqr72Z4OQ&#10;zA/lZqxo+yx3P6N+fzttto8GcfIQR68gPF39Xxlu+AEdisBU2jNrJzqENAnFYKcgbmmcLECUCIsk&#10;BVnk8j9+8QtQSwMEFAAAAAgAh07iQCrH2koNAgAABAQAAA4AAABkcnMvZTJvRG9jLnhtbK1TzY7T&#10;MBC+I/EOlu803aCsaNR0Dy0LBwSV+Lm7jp1Y8p883qZ9CV4AiRNwYjntnaeB5TEYO6XAcumBHKKx&#10;x/PNfJ8/zy92RpOtCKCcbejZZEqJsNy1ynYNff3q8sEjSiAy2zLtrGjoXgC9WNy/Nx98LUrXO92K&#10;QBDEQj34hvYx+roogPfCMJg4LywmpQuGRVyGrmgDGxDd6KKcTs+LwYXWB8cFAO6uxiQ9IIZTAJ2U&#10;iouV41dG2DiiBqFZRErQKw90kaeVUvD4QkoQkeiGItOY/9gE4036F4s5q7vAfK/4YQR2ygh3OBmm&#10;LDY9Qq1YZOQqqH+gjOLBgZNxwp0pRiJZEWRxNr2jzcueeZG5oNTgj6LD/4Plz7frQFTb0JISywxe&#10;+O27m+9vP95+uf724ebH1/cp/vyJlEmqwUONFUu7DocV+HVIvHcyGCK18k/RUzRHb1KUcsiS7LLk&#10;+6PkYhcJx83zWfWwrCjhmKpm06rKV1KMgKnYB4hPhDMkBQ2FGJjq+rh01uLlujC2YNtnEHEkLPxV&#10;kIq1JUNDZ1XuwNCsEk2CzYxHwmC7PB44rdpLpXWqgNBtljqQLUuGyV8ijrh/HUtNVgz68VxOjVbq&#10;BWsf25bEvUcpLb4gmkYwoqVEC3xwKUJAVkem9CknsbW2OEHSflQ7RRvX7vMl5H00R57xYOTkvj/X&#10;ufr34138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COt27WAAAABgEAAA8AAAAAAAAAAQAgAAAA&#10;IgAAAGRycy9kb3ducmV2LnhtbFBLAQIUABQAAAAIAIdO4kAqx9pKDQIAAAQEAAAOAAAAAAAAAAEA&#10;IAAAACUBAABkcnMvZTJvRG9jLnhtbFBLBQYAAAAABgAGAFkBAACkBQAAAAA=&#10;">
                      <v:fill on="f" focussize="0,0"/>
                      <v:stroke color="#000000" joinstyle="round"/>
                      <v:imagedata o:title=""/>
                      <o:lock v:ext="edit" aspectratio="f"/>
                    </v:shape>
                  </w:pict>
                </mc:Fallback>
              </mc:AlternateContent>
            </w:r>
            <w:r>
              <w:rPr>
                <w:rFonts w:hint="eastAsia" w:ascii="仿宋_GB2312" w:hAnsi="仿宋" w:eastAsia="仿宋_GB2312" w:cs="仿宋"/>
                <w:sz w:val="28"/>
                <w:szCs w:val="28"/>
                <w:lang w:bidi="ar"/>
              </w:rPr>
              <w:t xml:space="preserve">   分类</w:t>
            </w:r>
          </w:p>
          <w:p>
            <w:pPr>
              <w:spacing w:line="460" w:lineRule="exact"/>
              <w:rPr>
                <w:rFonts w:ascii="仿宋_GB2312" w:hAnsi="仿宋" w:eastAsia="仿宋_GB2312" w:cs="仿宋"/>
                <w:sz w:val="28"/>
                <w:szCs w:val="28"/>
              </w:rPr>
            </w:pPr>
            <w:r>
              <w:rPr>
                <w:rFonts w:hint="eastAsia" w:ascii="仿宋_GB2312" w:hAnsi="仿宋" w:eastAsia="仿宋_GB2312" w:cs="仿宋"/>
                <w:sz w:val="28"/>
                <w:szCs w:val="28"/>
                <w:lang w:bidi="ar"/>
              </w:rPr>
              <w:t>级别</w:t>
            </w:r>
          </w:p>
        </w:tc>
        <w:tc>
          <w:tcPr>
            <w:tcW w:w="1593"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仿宋" w:eastAsia="仿宋_GB2312" w:cs="仿宋"/>
                <w:sz w:val="28"/>
                <w:szCs w:val="28"/>
              </w:rPr>
            </w:pPr>
            <w:r>
              <w:rPr>
                <w:rFonts w:hint="eastAsia" w:ascii="仿宋_GB2312" w:hAnsi="仿宋" w:eastAsia="仿宋_GB2312" w:cs="仿宋"/>
                <w:sz w:val="28"/>
                <w:szCs w:val="28"/>
                <w:lang w:bidi="ar"/>
              </w:rPr>
              <w:t>一版</w:t>
            </w:r>
          </w:p>
        </w:tc>
        <w:tc>
          <w:tcPr>
            <w:tcW w:w="1651"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仿宋" w:eastAsia="仿宋_GB2312" w:cs="仿宋"/>
                <w:sz w:val="28"/>
                <w:szCs w:val="28"/>
              </w:rPr>
            </w:pPr>
            <w:r>
              <w:rPr>
                <w:rFonts w:hint="eastAsia" w:ascii="仿宋_GB2312" w:hAnsi="仿宋" w:eastAsia="仿宋_GB2312" w:cs="仿宋"/>
                <w:sz w:val="28"/>
                <w:szCs w:val="28"/>
                <w:lang w:bidi="ar"/>
              </w:rPr>
              <w:t>二版</w:t>
            </w:r>
          </w:p>
        </w:tc>
        <w:tc>
          <w:tcPr>
            <w:tcW w:w="1605"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仿宋" w:eastAsia="仿宋_GB2312" w:cs="仿宋"/>
                <w:sz w:val="28"/>
                <w:szCs w:val="28"/>
              </w:rPr>
            </w:pPr>
            <w:r>
              <w:rPr>
                <w:rFonts w:hint="eastAsia" w:ascii="仿宋_GB2312" w:hAnsi="仿宋" w:eastAsia="仿宋_GB2312" w:cs="仿宋"/>
                <w:sz w:val="28"/>
                <w:szCs w:val="28"/>
                <w:lang w:bidi="ar"/>
              </w:rPr>
              <w:t>其它版面</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4" w:hRule="atLeast"/>
          <w:jc w:val="center"/>
        </w:trPr>
        <w:tc>
          <w:tcPr>
            <w:tcW w:w="1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仿宋"/>
                <w:b/>
                <w:sz w:val="28"/>
                <w:szCs w:val="28"/>
                <w:lang w:bidi="ar"/>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仿宋" w:eastAsia="仿宋_GB2312" w:cs="仿宋"/>
                <w:sz w:val="28"/>
                <w:szCs w:val="28"/>
              </w:rPr>
            </w:pPr>
            <w:r>
              <w:rPr>
                <w:rFonts w:hint="eastAsia" w:ascii="仿宋_GB2312" w:hAnsi="仿宋" w:eastAsia="仿宋_GB2312" w:cs="仿宋"/>
                <w:sz w:val="28"/>
                <w:szCs w:val="28"/>
                <w:lang w:bidi="ar"/>
              </w:rPr>
              <w:t>国家</w:t>
            </w:r>
          </w:p>
        </w:tc>
        <w:tc>
          <w:tcPr>
            <w:tcW w:w="159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仿宋" w:eastAsia="仿宋_GB2312" w:cs="仿宋"/>
                <w:sz w:val="28"/>
                <w:szCs w:val="28"/>
              </w:rPr>
            </w:pPr>
            <w:r>
              <w:rPr>
                <w:rFonts w:hint="eastAsia" w:ascii="仿宋_GB2312" w:hAnsi="仿宋" w:eastAsia="仿宋_GB2312" w:cs="仿宋"/>
                <w:sz w:val="28"/>
                <w:szCs w:val="28"/>
                <w:lang w:bidi="ar"/>
              </w:rPr>
              <w:t>16分</w:t>
            </w:r>
          </w:p>
        </w:tc>
        <w:tc>
          <w:tcPr>
            <w:tcW w:w="165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仿宋" w:eastAsia="仿宋_GB2312" w:cs="仿宋"/>
                <w:sz w:val="28"/>
                <w:szCs w:val="28"/>
              </w:rPr>
            </w:pPr>
            <w:r>
              <w:rPr>
                <w:rFonts w:hint="eastAsia" w:ascii="仿宋_GB2312" w:hAnsi="仿宋" w:eastAsia="仿宋_GB2312" w:cs="仿宋"/>
                <w:sz w:val="28"/>
                <w:szCs w:val="28"/>
                <w:lang w:bidi="ar"/>
              </w:rPr>
              <w:t>8分</w:t>
            </w:r>
          </w:p>
        </w:tc>
        <w:tc>
          <w:tcPr>
            <w:tcW w:w="160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仿宋" w:eastAsia="仿宋_GB2312" w:cs="仿宋"/>
                <w:sz w:val="28"/>
                <w:szCs w:val="28"/>
              </w:rPr>
            </w:pPr>
            <w:r>
              <w:rPr>
                <w:rFonts w:hint="eastAsia" w:ascii="仿宋_GB2312" w:hAnsi="仿宋" w:eastAsia="仿宋_GB2312" w:cs="仿宋"/>
                <w:sz w:val="28"/>
                <w:szCs w:val="28"/>
                <w:lang w:bidi="ar"/>
              </w:rPr>
              <w:t>6分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4" w:hRule="atLeast"/>
          <w:jc w:val="center"/>
        </w:trPr>
        <w:tc>
          <w:tcPr>
            <w:tcW w:w="1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仿宋"/>
                <w:b/>
                <w:sz w:val="28"/>
                <w:szCs w:val="28"/>
                <w:lang w:bidi="ar"/>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仿宋" w:eastAsia="仿宋_GB2312" w:cs="仿宋"/>
                <w:sz w:val="28"/>
                <w:szCs w:val="28"/>
              </w:rPr>
            </w:pPr>
            <w:r>
              <w:rPr>
                <w:rFonts w:hint="eastAsia" w:ascii="仿宋_GB2312" w:hAnsi="仿宋" w:eastAsia="仿宋_GB2312" w:cs="仿宋"/>
                <w:sz w:val="28"/>
                <w:szCs w:val="28"/>
                <w:lang w:bidi="ar"/>
              </w:rPr>
              <w:t>省(市)</w:t>
            </w:r>
          </w:p>
        </w:tc>
        <w:tc>
          <w:tcPr>
            <w:tcW w:w="159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仿宋" w:eastAsia="仿宋_GB2312" w:cs="仿宋"/>
                <w:sz w:val="28"/>
                <w:szCs w:val="28"/>
              </w:rPr>
            </w:pPr>
            <w:r>
              <w:rPr>
                <w:rFonts w:hint="eastAsia" w:ascii="仿宋_GB2312" w:hAnsi="仿宋" w:eastAsia="仿宋_GB2312" w:cs="仿宋"/>
                <w:sz w:val="28"/>
                <w:szCs w:val="28"/>
                <w:lang w:bidi="ar"/>
              </w:rPr>
              <w:t>8分</w:t>
            </w:r>
          </w:p>
        </w:tc>
        <w:tc>
          <w:tcPr>
            <w:tcW w:w="165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仿宋" w:eastAsia="仿宋_GB2312" w:cs="仿宋"/>
                <w:sz w:val="28"/>
                <w:szCs w:val="28"/>
              </w:rPr>
            </w:pPr>
            <w:r>
              <w:rPr>
                <w:rFonts w:hint="eastAsia" w:ascii="仿宋_GB2312" w:hAnsi="仿宋" w:eastAsia="仿宋_GB2312" w:cs="仿宋"/>
                <w:sz w:val="28"/>
                <w:szCs w:val="28"/>
                <w:lang w:bidi="ar"/>
              </w:rPr>
              <w:t>5分</w:t>
            </w:r>
          </w:p>
        </w:tc>
        <w:tc>
          <w:tcPr>
            <w:tcW w:w="160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仿宋" w:eastAsia="仿宋_GB2312" w:cs="仿宋"/>
                <w:sz w:val="28"/>
                <w:szCs w:val="28"/>
              </w:rPr>
            </w:pPr>
            <w:r>
              <w:rPr>
                <w:rFonts w:hint="eastAsia" w:ascii="仿宋_GB2312" w:hAnsi="仿宋" w:eastAsia="仿宋_GB2312" w:cs="仿宋"/>
                <w:sz w:val="28"/>
                <w:szCs w:val="28"/>
                <w:lang w:bidi="ar"/>
              </w:rPr>
              <w:t>4分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7" w:hRule="atLeast"/>
          <w:jc w:val="center"/>
        </w:trPr>
        <w:tc>
          <w:tcPr>
            <w:tcW w:w="1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仿宋"/>
                <w:b/>
                <w:sz w:val="28"/>
                <w:szCs w:val="28"/>
                <w:lang w:bidi="ar"/>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仿宋" w:eastAsia="仿宋_GB2312" w:cs="仿宋"/>
                <w:sz w:val="28"/>
                <w:szCs w:val="28"/>
              </w:rPr>
            </w:pPr>
            <w:r>
              <w:rPr>
                <w:rFonts w:hint="eastAsia" w:ascii="仿宋_GB2312" w:hAnsi="仿宋" w:eastAsia="仿宋_GB2312" w:cs="仿宋"/>
                <w:sz w:val="28"/>
                <w:szCs w:val="28"/>
                <w:lang w:bidi="ar"/>
              </w:rPr>
              <w:t>其它</w:t>
            </w:r>
          </w:p>
        </w:tc>
        <w:tc>
          <w:tcPr>
            <w:tcW w:w="159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仿宋" w:eastAsia="仿宋_GB2312" w:cs="仿宋"/>
                <w:sz w:val="28"/>
                <w:szCs w:val="28"/>
              </w:rPr>
            </w:pPr>
            <w:r>
              <w:rPr>
                <w:rFonts w:hint="eastAsia" w:ascii="仿宋_GB2312" w:hAnsi="仿宋" w:eastAsia="仿宋_GB2312" w:cs="仿宋"/>
                <w:sz w:val="28"/>
                <w:szCs w:val="28"/>
                <w:lang w:bidi="ar"/>
              </w:rPr>
              <w:t>3分</w:t>
            </w:r>
          </w:p>
        </w:tc>
        <w:tc>
          <w:tcPr>
            <w:tcW w:w="165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仿宋" w:eastAsia="仿宋_GB2312" w:cs="仿宋"/>
                <w:sz w:val="28"/>
                <w:szCs w:val="28"/>
              </w:rPr>
            </w:pPr>
            <w:r>
              <w:rPr>
                <w:rFonts w:hint="eastAsia" w:ascii="仿宋_GB2312" w:hAnsi="仿宋" w:eastAsia="仿宋_GB2312" w:cs="仿宋"/>
                <w:sz w:val="28"/>
                <w:szCs w:val="28"/>
                <w:lang w:bidi="ar"/>
              </w:rPr>
              <w:t>2分</w:t>
            </w:r>
          </w:p>
        </w:tc>
        <w:tc>
          <w:tcPr>
            <w:tcW w:w="160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仿宋" w:eastAsia="仿宋_GB2312" w:cs="仿宋"/>
                <w:sz w:val="28"/>
                <w:szCs w:val="28"/>
              </w:rPr>
            </w:pPr>
            <w:r>
              <w:rPr>
                <w:rFonts w:hint="eastAsia" w:ascii="仿宋_GB2312" w:hAnsi="仿宋" w:eastAsia="仿宋_GB2312" w:cs="仿宋"/>
                <w:sz w:val="28"/>
                <w:szCs w:val="28"/>
                <w:lang w:bidi="ar"/>
              </w:rPr>
              <w:t>2分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62" w:hRule="atLeast"/>
          <w:jc w:val="center"/>
        </w:trPr>
        <w:tc>
          <w:tcPr>
            <w:tcW w:w="1817"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仿宋" w:eastAsia="仿宋_GB2312" w:cs="仿宋"/>
                <w:b/>
                <w:sz w:val="28"/>
                <w:szCs w:val="28"/>
                <w:lang w:bidi="ar"/>
              </w:rPr>
            </w:pPr>
            <w:r>
              <w:rPr>
                <w:rFonts w:hint="eastAsia" w:ascii="仿宋_GB2312" w:hAnsi="仿宋" w:eastAsia="仿宋_GB2312" w:cs="仿宋"/>
                <w:b/>
                <w:sz w:val="28"/>
                <w:szCs w:val="28"/>
                <w:lang w:bidi="ar"/>
              </w:rPr>
              <w:t>电视台</w:t>
            </w:r>
          </w:p>
        </w:tc>
        <w:tc>
          <w:tcPr>
            <w:tcW w:w="159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仿宋" w:eastAsia="仿宋_GB2312" w:cs="仿宋"/>
                <w:sz w:val="28"/>
                <w:szCs w:val="28"/>
              </w:rPr>
            </w:pPr>
            <w:r>
              <w:rPr>
                <w:rFonts w:hint="eastAsia" w:ascii="仿宋_GB2312" w:hAnsi="仿宋" w:eastAsia="仿宋_GB2312" w:cs="仿宋"/>
                <w:sz w:val="28"/>
                <w:szCs w:val="28"/>
                <w:lang w:bidi="ar"/>
              </w:rPr>
              <w:t>国家媒体</w:t>
            </w:r>
          </w:p>
        </w:tc>
        <w:tc>
          <w:tcPr>
            <w:tcW w:w="159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仿宋" w:eastAsia="仿宋_GB2312" w:cs="仿宋"/>
                <w:sz w:val="28"/>
                <w:szCs w:val="28"/>
              </w:rPr>
            </w:pPr>
            <w:r>
              <w:rPr>
                <w:rFonts w:hint="eastAsia" w:ascii="仿宋_GB2312" w:hAnsi="仿宋" w:eastAsia="仿宋_GB2312" w:cs="仿宋"/>
                <w:sz w:val="28"/>
                <w:szCs w:val="28"/>
                <w:lang w:bidi="ar"/>
              </w:rPr>
              <w:t>省级媒体</w:t>
            </w:r>
          </w:p>
        </w:tc>
        <w:tc>
          <w:tcPr>
            <w:tcW w:w="165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仿宋" w:eastAsia="仿宋_GB2312" w:cs="仿宋"/>
                <w:sz w:val="28"/>
                <w:szCs w:val="28"/>
              </w:rPr>
            </w:pPr>
            <w:r>
              <w:rPr>
                <w:rFonts w:hint="eastAsia" w:ascii="仿宋_GB2312" w:hAnsi="仿宋" w:eastAsia="仿宋_GB2312" w:cs="仿宋"/>
                <w:sz w:val="28"/>
                <w:szCs w:val="28"/>
                <w:lang w:bidi="ar"/>
              </w:rPr>
              <w:t>市级媒体</w:t>
            </w:r>
          </w:p>
        </w:tc>
        <w:tc>
          <w:tcPr>
            <w:tcW w:w="160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仿宋" w:eastAsia="仿宋_GB2312" w:cs="仿宋"/>
                <w:sz w:val="28"/>
                <w:szCs w:val="28"/>
              </w:rPr>
            </w:pPr>
            <w:r>
              <w:rPr>
                <w:rFonts w:hint="eastAsia" w:ascii="仿宋_GB2312" w:hAnsi="仿宋" w:eastAsia="仿宋_GB2312" w:cs="仿宋"/>
                <w:sz w:val="28"/>
                <w:szCs w:val="28"/>
                <w:lang w:bidi="ar"/>
              </w:rPr>
              <w:t>其他媒体</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1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仿宋"/>
                <w:b/>
                <w:sz w:val="28"/>
                <w:szCs w:val="28"/>
                <w:lang w:bidi="ar"/>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仿宋" w:eastAsia="仿宋_GB2312" w:cs="仿宋"/>
                <w:sz w:val="28"/>
                <w:szCs w:val="28"/>
              </w:rPr>
            </w:pPr>
            <w:r>
              <w:rPr>
                <w:rFonts w:hint="eastAsia" w:ascii="仿宋_GB2312" w:hAnsi="仿宋" w:eastAsia="仿宋_GB2312" w:cs="仿宋"/>
                <w:sz w:val="28"/>
                <w:szCs w:val="28"/>
                <w:lang w:bidi="ar"/>
              </w:rPr>
              <w:t>16分</w:t>
            </w:r>
          </w:p>
        </w:tc>
        <w:tc>
          <w:tcPr>
            <w:tcW w:w="159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仿宋" w:eastAsia="仿宋_GB2312" w:cs="仿宋"/>
                <w:sz w:val="28"/>
                <w:szCs w:val="28"/>
              </w:rPr>
            </w:pPr>
            <w:r>
              <w:rPr>
                <w:rFonts w:hint="eastAsia" w:ascii="仿宋_GB2312" w:hAnsi="仿宋" w:eastAsia="仿宋_GB2312" w:cs="仿宋"/>
                <w:sz w:val="28"/>
                <w:szCs w:val="28"/>
                <w:lang w:bidi="ar"/>
              </w:rPr>
              <w:t>12分</w:t>
            </w:r>
          </w:p>
        </w:tc>
        <w:tc>
          <w:tcPr>
            <w:tcW w:w="165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仿宋" w:eastAsia="仿宋_GB2312" w:cs="仿宋"/>
                <w:sz w:val="28"/>
                <w:szCs w:val="28"/>
              </w:rPr>
            </w:pPr>
            <w:r>
              <w:rPr>
                <w:rFonts w:hint="eastAsia" w:ascii="仿宋_GB2312" w:hAnsi="仿宋" w:eastAsia="仿宋_GB2312" w:cs="仿宋"/>
                <w:sz w:val="28"/>
                <w:szCs w:val="28"/>
                <w:lang w:bidi="ar"/>
              </w:rPr>
              <w:t>6分</w:t>
            </w:r>
          </w:p>
        </w:tc>
        <w:tc>
          <w:tcPr>
            <w:tcW w:w="160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仿宋" w:eastAsia="仿宋_GB2312" w:cs="仿宋"/>
                <w:sz w:val="28"/>
                <w:szCs w:val="28"/>
              </w:rPr>
            </w:pPr>
            <w:r>
              <w:rPr>
                <w:rFonts w:hint="eastAsia" w:ascii="仿宋_GB2312" w:hAnsi="仿宋" w:eastAsia="仿宋_GB2312" w:cs="仿宋"/>
                <w:sz w:val="28"/>
                <w:szCs w:val="28"/>
                <w:lang w:bidi="ar"/>
              </w:rPr>
              <w:t>4分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1817"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rPr>
                <w:sz w:val="30"/>
                <w:szCs w:val="30"/>
              </w:rPr>
            </w:pPr>
            <w:r>
              <w:rPr>
                <w:rFonts w:hint="eastAsia" w:ascii="仿宋_GB2312" w:hAnsi="仿宋" w:eastAsia="仿宋_GB2312" w:cs="仿宋"/>
                <w:b/>
                <w:sz w:val="28"/>
                <w:szCs w:val="28"/>
                <w:lang w:bidi="ar"/>
              </w:rPr>
              <w:t>电台、网站、微信等通用APP平台</w:t>
            </w:r>
          </w:p>
        </w:tc>
        <w:tc>
          <w:tcPr>
            <w:tcW w:w="159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仿宋" w:eastAsia="仿宋_GB2312" w:cs="仿宋"/>
                <w:sz w:val="28"/>
                <w:szCs w:val="28"/>
                <w:lang w:bidi="ar"/>
              </w:rPr>
            </w:pPr>
            <w:r>
              <w:rPr>
                <w:rFonts w:hint="eastAsia" w:ascii="仿宋_GB2312" w:hAnsi="仿宋" w:eastAsia="仿宋_GB2312" w:cs="仿宋"/>
                <w:sz w:val="28"/>
                <w:szCs w:val="28"/>
                <w:lang w:bidi="ar"/>
              </w:rPr>
              <w:t>国家级</w:t>
            </w:r>
          </w:p>
        </w:tc>
        <w:tc>
          <w:tcPr>
            <w:tcW w:w="159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仿宋" w:eastAsia="仿宋_GB2312" w:cs="仿宋"/>
                <w:sz w:val="28"/>
                <w:szCs w:val="28"/>
                <w:lang w:bidi="ar"/>
              </w:rPr>
            </w:pPr>
            <w:r>
              <w:rPr>
                <w:rFonts w:hint="eastAsia" w:ascii="仿宋_GB2312" w:hAnsi="仿宋" w:eastAsia="仿宋_GB2312" w:cs="仿宋"/>
                <w:sz w:val="28"/>
                <w:szCs w:val="28"/>
                <w:lang w:bidi="ar"/>
              </w:rPr>
              <w:t>省市级</w:t>
            </w:r>
          </w:p>
        </w:tc>
        <w:tc>
          <w:tcPr>
            <w:tcW w:w="165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仿宋" w:eastAsia="仿宋_GB2312" w:cs="仿宋"/>
                <w:sz w:val="28"/>
                <w:szCs w:val="28"/>
                <w:lang w:bidi="ar"/>
              </w:rPr>
            </w:pPr>
            <w:r>
              <w:rPr>
                <w:rFonts w:hint="eastAsia" w:ascii="仿宋_GB2312" w:hAnsi="仿宋" w:eastAsia="仿宋_GB2312" w:cs="仿宋"/>
                <w:sz w:val="28"/>
                <w:szCs w:val="28"/>
                <w:lang w:bidi="ar"/>
              </w:rPr>
              <w:t>县级网站及通用APP</w:t>
            </w:r>
          </w:p>
        </w:tc>
        <w:tc>
          <w:tcPr>
            <w:tcW w:w="160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仿宋" w:eastAsia="仿宋_GB2312" w:cs="仿宋"/>
                <w:sz w:val="28"/>
                <w:szCs w:val="28"/>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1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30"/>
                <w:szCs w:val="30"/>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仿宋" w:eastAsia="仿宋_GB2312" w:cs="仿宋"/>
                <w:sz w:val="28"/>
                <w:szCs w:val="28"/>
                <w:lang w:bidi="ar"/>
              </w:rPr>
            </w:pPr>
            <w:r>
              <w:rPr>
                <w:rFonts w:hint="eastAsia" w:ascii="仿宋_GB2312" w:hAnsi="仿宋" w:eastAsia="仿宋_GB2312" w:cs="仿宋"/>
                <w:sz w:val="28"/>
                <w:szCs w:val="28"/>
                <w:lang w:bidi="ar"/>
              </w:rPr>
              <w:t>5分</w:t>
            </w:r>
          </w:p>
        </w:tc>
        <w:tc>
          <w:tcPr>
            <w:tcW w:w="159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仿宋" w:eastAsia="仿宋_GB2312" w:cs="仿宋"/>
                <w:sz w:val="28"/>
                <w:szCs w:val="28"/>
                <w:lang w:bidi="ar"/>
              </w:rPr>
            </w:pPr>
            <w:r>
              <w:rPr>
                <w:rFonts w:hint="eastAsia" w:ascii="仿宋_GB2312" w:hAnsi="仿宋" w:eastAsia="仿宋_GB2312" w:cs="仿宋"/>
                <w:sz w:val="28"/>
                <w:szCs w:val="28"/>
                <w:lang w:bidi="ar"/>
              </w:rPr>
              <w:t>3分</w:t>
            </w:r>
          </w:p>
        </w:tc>
        <w:tc>
          <w:tcPr>
            <w:tcW w:w="165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仿宋" w:eastAsia="仿宋_GB2312" w:cs="仿宋"/>
                <w:sz w:val="28"/>
                <w:szCs w:val="28"/>
                <w:lang w:bidi="ar"/>
              </w:rPr>
            </w:pPr>
            <w:r>
              <w:rPr>
                <w:rFonts w:hint="eastAsia" w:ascii="仿宋_GB2312" w:hAnsi="仿宋" w:eastAsia="仿宋_GB2312" w:cs="仿宋"/>
                <w:sz w:val="28"/>
                <w:szCs w:val="28"/>
                <w:lang w:bidi="ar"/>
              </w:rPr>
              <w:t>2分</w:t>
            </w:r>
          </w:p>
        </w:tc>
        <w:tc>
          <w:tcPr>
            <w:tcW w:w="160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仿宋" w:eastAsia="仿宋_GB2312" w:cs="仿宋"/>
                <w:sz w:val="28"/>
                <w:szCs w:val="28"/>
                <w:lang w:bidi="ar"/>
              </w:rPr>
            </w:pPr>
          </w:p>
        </w:tc>
      </w:tr>
    </w:tbl>
    <w:p>
      <w:pPr>
        <w:spacing w:line="460" w:lineRule="exact"/>
        <w:rPr>
          <w:rFonts w:ascii="仿宋_GB2312" w:hAnsi="仿宋" w:eastAsia="仿宋_GB2312"/>
          <w:color w:val="000000"/>
          <w:sz w:val="28"/>
          <w:szCs w:val="28"/>
        </w:rPr>
      </w:pPr>
      <w:r>
        <w:rPr>
          <w:rFonts w:hint="eastAsia" w:ascii="仿宋_GB2312" w:hAnsi="仿宋" w:eastAsia="仿宋_GB2312"/>
          <w:color w:val="000000"/>
          <w:sz w:val="28"/>
          <w:szCs w:val="28"/>
        </w:rPr>
        <w:t>附注：转载的新闻参照上表规定的加分折半计算。</w:t>
      </w:r>
    </w:p>
    <w:p>
      <w:pPr>
        <w:spacing w:before="78" w:beforeLines="25" w:after="78" w:afterLines="25" w:line="460" w:lineRule="exact"/>
        <w:ind w:firstLine="640" w:firstLineChars="200"/>
        <w:rPr>
          <w:rFonts w:ascii="黑体" w:hAnsi="黑体" w:eastAsia="黑体"/>
          <w:b/>
          <w:color w:val="000000"/>
          <w:sz w:val="32"/>
          <w:szCs w:val="32"/>
        </w:rPr>
      </w:pPr>
      <w:r>
        <w:rPr>
          <w:rFonts w:hint="eastAsia" w:ascii="黑体" w:hAnsi="黑体" w:eastAsia="黑体"/>
          <w:b/>
          <w:color w:val="000000"/>
          <w:sz w:val="32"/>
          <w:szCs w:val="32"/>
        </w:rPr>
        <w:t>第五条  附则</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以上办法的解释权归共青团中南财经政法大学委员会所有。</w:t>
      </w:r>
    </w:p>
    <w:p>
      <w:pPr>
        <w:spacing w:line="460" w:lineRule="exact"/>
        <w:jc w:val="right"/>
        <w:rPr>
          <w:rFonts w:ascii="仿宋_GB2312" w:hAnsi="仿宋" w:eastAsia="仿宋_GB2312" w:cs="仿宋_GB2312"/>
          <w:sz w:val="30"/>
          <w:szCs w:val="30"/>
        </w:rPr>
      </w:pPr>
    </w:p>
    <w:p>
      <w:pPr>
        <w:spacing w:line="460" w:lineRule="exact"/>
        <w:jc w:val="right"/>
        <w:rPr>
          <w:rFonts w:ascii="仿宋_GB2312" w:hAnsi="仿宋" w:eastAsia="仿宋_GB2312" w:cs="仿宋_GB2312"/>
          <w:sz w:val="30"/>
          <w:szCs w:val="30"/>
        </w:rPr>
      </w:pPr>
    </w:p>
    <w:p>
      <w:pPr>
        <w:spacing w:line="460" w:lineRule="exact"/>
        <w:jc w:val="right"/>
        <w:rPr>
          <w:rFonts w:ascii="仿宋_GB2312" w:hAnsi="仿宋" w:eastAsia="仿宋_GB2312"/>
          <w:color w:val="000000"/>
          <w:sz w:val="28"/>
          <w:szCs w:val="28"/>
        </w:rPr>
      </w:pPr>
      <w:r>
        <w:rPr>
          <w:rFonts w:hint="eastAsia" w:ascii="仿宋_GB2312" w:hAnsi="仿宋" w:eastAsia="仿宋_GB2312"/>
          <w:color w:val="000000"/>
          <w:sz w:val="28"/>
          <w:szCs w:val="28"/>
        </w:rPr>
        <w:t>共青团中南财经政法大学委员会</w:t>
      </w:r>
    </w:p>
    <w:p>
      <w:pPr>
        <w:spacing w:line="460" w:lineRule="exact"/>
        <w:ind w:right="935"/>
        <w:jc w:val="right"/>
        <w:rPr>
          <w:rFonts w:ascii="仿宋_GB2312" w:hAnsi="仿宋" w:eastAsia="仿宋_GB2312"/>
          <w:color w:val="000000"/>
          <w:sz w:val="28"/>
          <w:szCs w:val="28"/>
        </w:rPr>
      </w:pPr>
      <w:r>
        <w:rPr>
          <w:rFonts w:hint="eastAsia" w:ascii="仿宋_GB2312" w:hAnsi="仿宋" w:eastAsia="仿宋_GB2312"/>
          <w:color w:val="000000"/>
          <w:sz w:val="28"/>
          <w:szCs w:val="28"/>
        </w:rPr>
        <w:t>2023年3月14日</w:t>
      </w:r>
    </w:p>
    <w:p>
      <w:pPr>
        <w:spacing w:line="460" w:lineRule="exact"/>
        <w:ind w:right="935"/>
        <w:jc w:val="center"/>
        <w:rPr>
          <w:rFonts w:ascii="仿宋_GB2312" w:hAnsi="仿宋" w:eastAsia="仿宋_GB2312"/>
          <w:color w:val="000000"/>
          <w:sz w:val="28"/>
          <w:szCs w:val="28"/>
        </w:rPr>
      </w:pPr>
      <w:r>
        <w:rPr>
          <w:kern w:val="0"/>
          <w:sz w:val="30"/>
          <w:szCs w:val="30"/>
        </w:rPr>
        <w:br w:type="page"/>
      </w:r>
      <w:r>
        <w:rPr>
          <w:rFonts w:hint="eastAsia" w:ascii="方正小标宋简体" w:hAnsi="华文中宋" w:eastAsia="方正小标宋简体"/>
          <w:color w:val="000000"/>
          <w:sz w:val="36"/>
          <w:szCs w:val="36"/>
        </w:rPr>
        <w:t>“改革创新单项奖”评比办法</w:t>
      </w:r>
    </w:p>
    <w:p>
      <w:pPr>
        <w:spacing w:before="78" w:beforeLines="25" w:after="78" w:afterLines="25" w:line="460" w:lineRule="exact"/>
        <w:ind w:firstLine="640" w:firstLineChars="200"/>
        <w:rPr>
          <w:rFonts w:ascii="黑体" w:hAnsi="黑体" w:eastAsia="黑体"/>
          <w:b/>
          <w:color w:val="000000"/>
          <w:sz w:val="32"/>
          <w:szCs w:val="32"/>
        </w:rPr>
      </w:pPr>
      <w:r>
        <w:rPr>
          <w:rFonts w:hint="eastAsia" w:ascii="黑体" w:hAnsi="黑体" w:eastAsia="黑体"/>
          <w:b/>
          <w:color w:val="000000"/>
          <w:sz w:val="32"/>
          <w:szCs w:val="32"/>
        </w:rPr>
        <w:t>第一条  总则</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校团委依据各分团委评比的综合得分从高到低评选出改革增效单项奖。各院综合得分由日常工作考核得分、书面述职得分、线上展示得分、学院党委评价得分、青年评议得分五部分加权构成。计算公式为：综合得分=日常工作考核得分（百分制）×10%+线下答辩（百分制）×50%+学院党委评价（百分制）×20%＋青年评议（百分制）×20%。</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校团委依据《共青团中南财经政法大学委员会分团委工作考核办法》及相关规定对各院进行年度考核。年度考核以学年度为单位，各分团委应当按照校团委的要求上交奖项申报表，由校团委根据各院书面述职和线上展示进行考核评分。</w:t>
      </w:r>
    </w:p>
    <w:p>
      <w:pPr>
        <w:spacing w:before="78" w:beforeLines="25" w:after="78" w:afterLines="25" w:line="460" w:lineRule="exact"/>
        <w:ind w:firstLine="640" w:firstLineChars="200"/>
        <w:rPr>
          <w:rFonts w:ascii="黑体" w:hAnsi="黑体" w:eastAsia="黑体"/>
          <w:b/>
          <w:color w:val="000000"/>
          <w:sz w:val="32"/>
          <w:szCs w:val="32"/>
        </w:rPr>
      </w:pPr>
      <w:r>
        <w:rPr>
          <w:rFonts w:hint="eastAsia" w:ascii="黑体" w:hAnsi="黑体" w:eastAsia="黑体"/>
          <w:b/>
          <w:color w:val="000000"/>
          <w:sz w:val="32"/>
          <w:szCs w:val="32"/>
        </w:rPr>
        <w:t>第二条 “改革创新单项奖”答辩评分量化标准</w:t>
      </w:r>
    </w:p>
    <w:p>
      <w:pPr>
        <w:spacing w:line="460" w:lineRule="exact"/>
        <w:ind w:firstLine="600" w:firstLineChars="200"/>
        <w:rPr>
          <w:rFonts w:ascii="楷体_GB2312" w:eastAsia="楷体_GB2312" w:cs="仿宋_GB2312"/>
          <w:b/>
          <w:sz w:val="30"/>
          <w:szCs w:val="30"/>
        </w:rPr>
      </w:pPr>
      <w:r>
        <w:rPr>
          <w:rFonts w:hint="eastAsia" w:ascii="楷体_GB2312" w:eastAsia="楷体_GB2312" w:cs="仿宋_GB2312"/>
          <w:b/>
          <w:sz w:val="30"/>
          <w:szCs w:val="30"/>
        </w:rPr>
        <w:t>（一）总体要求</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1.内容属实，简洁明了，概括性强，重点突出。</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2.工作特色鲜明，举措得力，成效突出。</w:t>
      </w:r>
    </w:p>
    <w:p>
      <w:pPr>
        <w:spacing w:line="460" w:lineRule="exact"/>
        <w:ind w:firstLine="600" w:firstLineChars="200"/>
        <w:rPr>
          <w:rFonts w:ascii="楷体_GB2312" w:eastAsia="楷体_GB2312" w:cs="仿宋_GB2312"/>
          <w:b/>
          <w:sz w:val="30"/>
          <w:szCs w:val="30"/>
        </w:rPr>
      </w:pPr>
      <w:r>
        <w:rPr>
          <w:rFonts w:hint="eastAsia" w:ascii="楷体_GB2312" w:eastAsia="楷体_GB2312" w:cs="仿宋_GB2312"/>
          <w:b/>
          <w:sz w:val="30"/>
          <w:szCs w:val="30"/>
        </w:rPr>
        <w:t>（二）改革创新工作</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1.学院团委积极推进共青团、学生会组织改革工作，试点项目取得阶段性实效，各级团学组织在开展各项活动时，能够在内容形式上推陈出新，将活动的思想性、教育性、趣味性相融合，将活动的效果落到实处。</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2.学院各级团学组织能够紧密围绕上级党团组织的重要会议、文件精神，结合团员青年的实际需求，进一步延伸团学活动的内容，实现对活动内容的创新，注重通过工作活动的创新进一步培养团员青年的创新精神和创造能力，在突出本院特色的基础上，提升团学活动的核心竞争力和吸引力。</w:t>
      </w:r>
    </w:p>
    <w:p>
      <w:pPr>
        <w:spacing w:line="460" w:lineRule="exact"/>
        <w:ind w:firstLine="600" w:firstLineChars="200"/>
        <w:rPr>
          <w:rFonts w:ascii="楷体_GB2312" w:eastAsia="楷体_GB2312" w:cs="仿宋_GB2312"/>
          <w:b/>
          <w:sz w:val="30"/>
          <w:szCs w:val="30"/>
        </w:rPr>
      </w:pPr>
      <w:r>
        <w:rPr>
          <w:rFonts w:hint="eastAsia" w:ascii="楷体_GB2312" w:eastAsia="楷体_GB2312" w:cs="仿宋_GB2312"/>
          <w:b/>
          <w:sz w:val="30"/>
          <w:szCs w:val="30"/>
        </w:rPr>
        <w:t>（三）改革创新实效</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1.有关共青团、学生会改革工作推动有力，改革措施落实程度高，试点工作取得有效进展。</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2.在各项改革中先行先试，在实践中形成了紧密结合本学院实际的新做法、新机制和新模式，有效推动团学工作水平提升。</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3.有关原创性、先进性、可行性改革创新思路和对策建议，经实施后效果突出、作用明显，得到各级肯定或被上级媒体宣传报道，影响力强。</w:t>
      </w:r>
    </w:p>
    <w:p>
      <w:pPr>
        <w:spacing w:before="78" w:beforeLines="25" w:after="78" w:afterLines="25" w:line="460" w:lineRule="exact"/>
        <w:ind w:firstLine="640" w:firstLineChars="200"/>
        <w:rPr>
          <w:rFonts w:ascii="黑体" w:hAnsi="黑体" w:eastAsia="黑体"/>
          <w:b/>
          <w:color w:val="000000"/>
          <w:sz w:val="32"/>
          <w:szCs w:val="32"/>
        </w:rPr>
      </w:pPr>
      <w:r>
        <w:rPr>
          <w:rFonts w:hint="eastAsia" w:ascii="黑体" w:hAnsi="黑体" w:eastAsia="黑体"/>
          <w:b/>
          <w:color w:val="000000"/>
          <w:sz w:val="32"/>
          <w:szCs w:val="32"/>
        </w:rPr>
        <w:t>第三条  附则</w:t>
      </w:r>
    </w:p>
    <w:p>
      <w:pPr>
        <w:spacing w:line="4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以上办法的最终解释权归共青团中南财经政法大学委员会所有。</w:t>
      </w:r>
    </w:p>
    <w:p>
      <w:pPr>
        <w:pStyle w:val="5"/>
        <w:spacing w:before="156" w:beforeLines="50" w:after="156" w:afterLines="50" w:line="460" w:lineRule="exact"/>
        <w:jc w:val="right"/>
        <w:rPr>
          <w:rFonts w:ascii="仿宋_GB2312" w:eastAsia="仿宋_GB2312" w:cs="仿宋_GB2312"/>
          <w:sz w:val="30"/>
          <w:szCs w:val="30"/>
        </w:rPr>
      </w:pPr>
    </w:p>
    <w:p>
      <w:pPr>
        <w:pStyle w:val="5"/>
        <w:spacing w:before="156" w:beforeLines="50" w:after="156" w:afterLines="50" w:line="460" w:lineRule="exact"/>
        <w:jc w:val="right"/>
        <w:rPr>
          <w:rFonts w:ascii="仿宋_GB2312" w:eastAsia="仿宋_GB2312" w:cs="仿宋_GB2312"/>
          <w:sz w:val="30"/>
          <w:szCs w:val="30"/>
        </w:rPr>
      </w:pPr>
    </w:p>
    <w:p>
      <w:pPr>
        <w:pStyle w:val="5"/>
        <w:spacing w:line="460" w:lineRule="exact"/>
        <w:jc w:val="right"/>
        <w:rPr>
          <w:rFonts w:ascii="仿宋_GB2312" w:hAnsi="仿宋" w:eastAsia="仿宋_GB2312"/>
          <w:color w:val="000000"/>
          <w:sz w:val="28"/>
          <w:szCs w:val="28"/>
        </w:rPr>
      </w:pPr>
      <w:r>
        <w:rPr>
          <w:rFonts w:hint="eastAsia" w:ascii="仿宋_GB2312" w:hAnsi="仿宋" w:eastAsia="仿宋_GB2312"/>
          <w:color w:val="000000"/>
          <w:sz w:val="28"/>
          <w:szCs w:val="28"/>
        </w:rPr>
        <w:t>共青团中南财经政法大学委员会</w:t>
      </w:r>
    </w:p>
    <w:p>
      <w:pPr>
        <w:pStyle w:val="5"/>
        <w:spacing w:line="460" w:lineRule="exact"/>
        <w:ind w:right="935"/>
        <w:jc w:val="right"/>
        <w:rPr>
          <w:rFonts w:ascii="仿宋_GB2312" w:hAnsi="仿宋" w:eastAsia="仿宋_GB2312"/>
          <w:color w:val="000000"/>
          <w:sz w:val="28"/>
          <w:szCs w:val="28"/>
        </w:rPr>
      </w:pPr>
      <w:r>
        <w:rPr>
          <w:rFonts w:hint="eastAsia" w:ascii="仿宋_GB2312" w:hAnsi="仿宋" w:eastAsia="仿宋_GB2312"/>
          <w:color w:val="000000"/>
          <w:sz w:val="28"/>
          <w:szCs w:val="28"/>
        </w:rPr>
        <w:t>2023年3月14日</w:t>
      </w:r>
    </w:p>
    <w:p>
      <w:pPr>
        <w:spacing w:before="156" w:beforeLines="50" w:after="156" w:afterLines="50" w:line="460" w:lineRule="exact"/>
        <w:jc w:val="center"/>
        <w:rPr>
          <w:rFonts w:ascii="仿宋_GB2312" w:hAnsi="仿宋" w:eastAsia="仿宋_GB2312"/>
          <w:color w:val="000000"/>
          <w:sz w:val="28"/>
          <w:szCs w:val="28"/>
        </w:rPr>
      </w:pPr>
      <w:r>
        <w:rPr>
          <w:kern w:val="0"/>
          <w:szCs w:val="22"/>
          <w:lang w:bidi="ar"/>
        </w:rPr>
        <w:br w:type="page"/>
      </w:r>
      <w:r>
        <w:rPr>
          <w:rFonts w:hint="eastAsia" w:ascii="方正小标宋简体" w:hAnsi="华文中宋" w:eastAsia="方正小标宋简体"/>
          <w:color w:val="000000"/>
          <w:sz w:val="36"/>
          <w:szCs w:val="36"/>
        </w:rPr>
        <w:t>2022—2023学年共青团工作“五四”综合表彰</w:t>
      </w:r>
    </w:p>
    <w:p>
      <w:pPr>
        <w:spacing w:after="156" w:afterLines="50" w:line="460" w:lineRule="exact"/>
        <w:jc w:val="center"/>
        <w:rPr>
          <w:rFonts w:ascii="方正小标宋简体" w:hAnsi="华文中宋" w:eastAsia="方正小标宋简体"/>
          <w:color w:val="000000"/>
          <w:sz w:val="36"/>
          <w:szCs w:val="36"/>
        </w:rPr>
      </w:pPr>
      <w:r>
        <w:rPr>
          <w:rFonts w:hint="eastAsia" w:ascii="方正小标宋简体" w:hAnsi="华文中宋" w:eastAsia="方正小标宋简体"/>
          <w:color w:val="000000"/>
          <w:sz w:val="36"/>
          <w:szCs w:val="36"/>
        </w:rPr>
        <w:t>“红旗分团委”奖项申报表</w:t>
      </w:r>
    </w:p>
    <w:tbl>
      <w:tblPr>
        <w:tblStyle w:val="7"/>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526"/>
        <w:gridCol w:w="1278"/>
        <w:gridCol w:w="1804"/>
        <w:gridCol w:w="2165"/>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990" w:type="dxa"/>
            <w:gridSpan w:val="3"/>
            <w:vAlign w:val="center"/>
          </w:tcPr>
          <w:p>
            <w:pPr>
              <w:spacing w:line="460" w:lineRule="exact"/>
              <w:ind w:firstLine="240" w:firstLineChars="100"/>
              <w:jc w:val="center"/>
              <w:rPr>
                <w:rFonts w:ascii="仿宋_GB2312" w:hAnsi="仿宋" w:eastAsia="仿宋_GB2312"/>
                <w:b/>
                <w:color w:val="000000"/>
                <w:sz w:val="24"/>
              </w:rPr>
            </w:pPr>
            <w:r>
              <w:rPr>
                <w:rFonts w:hint="eastAsia" w:ascii="仿宋_GB2312" w:hAnsi="仿宋" w:eastAsia="仿宋_GB2312"/>
                <w:color w:val="000000"/>
                <w:sz w:val="24"/>
              </w:rPr>
              <w:t>申 报 单 位</w:t>
            </w:r>
          </w:p>
        </w:tc>
        <w:tc>
          <w:tcPr>
            <w:tcW w:w="5776" w:type="dxa"/>
            <w:gridSpan w:val="3"/>
            <w:vAlign w:val="center"/>
          </w:tcPr>
          <w:p>
            <w:pPr>
              <w:spacing w:line="460" w:lineRule="exact"/>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86" w:type="dxa"/>
            <w:vMerge w:val="restart"/>
            <w:vAlign w:val="center"/>
          </w:tcPr>
          <w:p>
            <w:pPr>
              <w:spacing w:line="460" w:lineRule="exact"/>
              <w:rPr>
                <w:rFonts w:ascii="仿宋_GB2312" w:hAnsi="仿宋" w:eastAsia="仿宋_GB2312"/>
                <w:color w:val="000000"/>
                <w:sz w:val="24"/>
              </w:rPr>
            </w:pPr>
            <w:r>
              <w:rPr>
                <w:rFonts w:hint="eastAsia" w:ascii="仿宋_GB2312" w:hAnsi="仿宋" w:eastAsia="仿宋_GB2312"/>
                <w:color w:val="000000"/>
                <w:sz w:val="24"/>
              </w:rPr>
              <w:t xml:space="preserve">基  本  情  </w:t>
            </w:r>
            <w:r>
              <w:rPr>
                <w:rFonts w:ascii="仿宋_GB2312" w:hAnsi="仿宋" w:eastAsia="仿宋_GB2312"/>
                <w:color w:val="000000"/>
                <w:sz w:val="24"/>
              </w:rPr>
              <w:t xml:space="preserve">  </w:t>
            </w:r>
            <w:r>
              <w:rPr>
                <w:rFonts w:hint="eastAsia" w:ascii="仿宋_GB2312" w:hAnsi="仿宋" w:eastAsia="仿宋_GB2312"/>
                <w:color w:val="000000"/>
                <w:sz w:val="24"/>
              </w:rPr>
              <w:t>况</w:t>
            </w:r>
          </w:p>
        </w:tc>
        <w:tc>
          <w:tcPr>
            <w:tcW w:w="1804" w:type="dxa"/>
            <w:gridSpan w:val="2"/>
            <w:tcBorders>
              <w:top w:val="single" w:color="auto" w:sz="4" w:space="0"/>
            </w:tcBorders>
            <w:vAlign w:val="center"/>
          </w:tcPr>
          <w:p>
            <w:pPr>
              <w:spacing w:line="460" w:lineRule="exact"/>
              <w:jc w:val="center"/>
              <w:rPr>
                <w:rFonts w:ascii="仿宋_GB2312" w:hAnsi="仿宋" w:eastAsia="仿宋_GB2312"/>
                <w:color w:val="000000"/>
                <w:sz w:val="24"/>
              </w:rPr>
            </w:pPr>
            <w:r>
              <w:rPr>
                <w:rFonts w:hint="eastAsia" w:ascii="仿宋_GB2312" w:hAnsi="仿宋" w:eastAsia="仿宋_GB2312"/>
                <w:color w:val="000000"/>
                <w:sz w:val="24"/>
              </w:rPr>
              <w:t>团委书记</w:t>
            </w:r>
          </w:p>
        </w:tc>
        <w:tc>
          <w:tcPr>
            <w:tcW w:w="1804" w:type="dxa"/>
            <w:tcBorders>
              <w:top w:val="single" w:color="auto" w:sz="4" w:space="0"/>
            </w:tcBorders>
            <w:vAlign w:val="center"/>
          </w:tcPr>
          <w:p>
            <w:pPr>
              <w:spacing w:line="460" w:lineRule="exact"/>
              <w:jc w:val="center"/>
              <w:rPr>
                <w:rFonts w:ascii="仿宋_GB2312" w:hAnsi="仿宋" w:eastAsia="仿宋_GB2312"/>
                <w:color w:val="000000"/>
                <w:sz w:val="24"/>
              </w:rPr>
            </w:pPr>
          </w:p>
        </w:tc>
        <w:tc>
          <w:tcPr>
            <w:tcW w:w="2165" w:type="dxa"/>
            <w:tcBorders>
              <w:top w:val="single" w:color="auto" w:sz="4" w:space="0"/>
            </w:tcBorders>
            <w:vAlign w:val="center"/>
          </w:tcPr>
          <w:p>
            <w:pPr>
              <w:spacing w:line="460" w:lineRule="exact"/>
              <w:jc w:val="center"/>
              <w:rPr>
                <w:rFonts w:ascii="仿宋_GB2312" w:hAnsi="仿宋" w:eastAsia="仿宋_GB2312"/>
                <w:color w:val="000000"/>
                <w:sz w:val="24"/>
              </w:rPr>
            </w:pPr>
            <w:r>
              <w:rPr>
                <w:rFonts w:hint="eastAsia" w:ascii="仿宋_GB2312" w:hAnsi="仿宋" w:eastAsia="仿宋_GB2312"/>
                <w:color w:val="000000"/>
                <w:sz w:val="24"/>
              </w:rPr>
              <w:t>所属支部数</w:t>
            </w:r>
          </w:p>
        </w:tc>
        <w:tc>
          <w:tcPr>
            <w:tcW w:w="1807" w:type="dxa"/>
            <w:tcBorders>
              <w:top w:val="single" w:color="auto" w:sz="4" w:space="0"/>
            </w:tcBorders>
            <w:vAlign w:val="center"/>
          </w:tcPr>
          <w:p>
            <w:pPr>
              <w:spacing w:line="460" w:lineRule="exac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86" w:type="dxa"/>
            <w:vMerge w:val="continue"/>
            <w:vAlign w:val="center"/>
          </w:tcPr>
          <w:p>
            <w:pPr>
              <w:spacing w:line="460" w:lineRule="exact"/>
              <w:rPr>
                <w:rFonts w:ascii="仿宋_GB2312" w:hAnsi="仿宋" w:eastAsia="仿宋_GB2312"/>
                <w:color w:val="000000"/>
                <w:sz w:val="24"/>
              </w:rPr>
            </w:pPr>
          </w:p>
        </w:tc>
        <w:tc>
          <w:tcPr>
            <w:tcW w:w="1804" w:type="dxa"/>
            <w:gridSpan w:val="2"/>
            <w:tcBorders>
              <w:top w:val="single" w:color="auto" w:sz="4" w:space="0"/>
            </w:tcBorders>
            <w:vAlign w:val="center"/>
          </w:tcPr>
          <w:p>
            <w:pPr>
              <w:spacing w:line="460" w:lineRule="exact"/>
              <w:jc w:val="center"/>
              <w:rPr>
                <w:rFonts w:ascii="仿宋_GB2312" w:hAnsi="仿宋" w:eastAsia="仿宋_GB2312"/>
                <w:color w:val="000000"/>
                <w:sz w:val="24"/>
              </w:rPr>
            </w:pPr>
            <w:r>
              <w:rPr>
                <w:rFonts w:hint="eastAsia" w:ascii="仿宋_GB2312" w:hAnsi="仿宋" w:eastAsia="仿宋_GB2312"/>
                <w:color w:val="000000"/>
                <w:sz w:val="24"/>
              </w:rPr>
              <w:t>团员总数</w:t>
            </w:r>
          </w:p>
        </w:tc>
        <w:tc>
          <w:tcPr>
            <w:tcW w:w="1804" w:type="dxa"/>
            <w:tcBorders>
              <w:top w:val="single" w:color="auto" w:sz="4" w:space="0"/>
            </w:tcBorders>
            <w:vAlign w:val="center"/>
          </w:tcPr>
          <w:p>
            <w:pPr>
              <w:spacing w:line="460" w:lineRule="exact"/>
              <w:jc w:val="center"/>
              <w:rPr>
                <w:rFonts w:ascii="仿宋_GB2312" w:hAnsi="仿宋" w:eastAsia="仿宋_GB2312"/>
                <w:color w:val="000000"/>
                <w:sz w:val="24"/>
              </w:rPr>
            </w:pPr>
          </w:p>
        </w:tc>
        <w:tc>
          <w:tcPr>
            <w:tcW w:w="2165" w:type="dxa"/>
            <w:tcBorders>
              <w:top w:val="single" w:color="auto" w:sz="4" w:space="0"/>
            </w:tcBorders>
            <w:vAlign w:val="center"/>
          </w:tcPr>
          <w:p>
            <w:pPr>
              <w:spacing w:line="460" w:lineRule="exact"/>
              <w:jc w:val="center"/>
              <w:rPr>
                <w:rFonts w:ascii="仿宋_GB2312" w:hAnsi="仿宋" w:eastAsia="仿宋_GB2312"/>
                <w:color w:val="000000"/>
                <w:sz w:val="24"/>
              </w:rPr>
            </w:pPr>
            <w:r>
              <w:rPr>
                <w:rFonts w:hint="eastAsia" w:ascii="仿宋_GB2312" w:hAnsi="仿宋" w:eastAsia="仿宋_GB2312"/>
                <w:color w:val="000000"/>
                <w:sz w:val="24"/>
              </w:rPr>
              <w:t>团干部数</w:t>
            </w:r>
          </w:p>
        </w:tc>
        <w:tc>
          <w:tcPr>
            <w:tcW w:w="1807" w:type="dxa"/>
            <w:tcBorders>
              <w:top w:val="single" w:color="auto" w:sz="4" w:space="0"/>
            </w:tcBorders>
            <w:vAlign w:val="center"/>
          </w:tcPr>
          <w:p>
            <w:pPr>
              <w:spacing w:line="460" w:lineRule="exac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766" w:type="dxa"/>
            <w:gridSpan w:val="6"/>
            <w:vAlign w:val="center"/>
          </w:tcPr>
          <w:p>
            <w:pPr>
              <w:spacing w:line="460" w:lineRule="exact"/>
              <w:rPr>
                <w:rFonts w:ascii="仿宋" w:hAnsi="仿宋" w:eastAsia="仿宋"/>
                <w:b/>
                <w:color w:val="000000"/>
                <w:sz w:val="24"/>
              </w:rPr>
            </w:pPr>
            <w:r>
              <w:rPr>
                <w:rFonts w:hint="eastAsia" w:ascii="仿宋_GB2312" w:hAnsi="仿宋" w:eastAsia="仿宋_GB2312"/>
                <w:color w:val="000000"/>
                <w:sz w:val="24"/>
              </w:rPr>
              <w:t>申 报 奖 项（在申报奖项后打“√”）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766" w:type="dxa"/>
            <w:gridSpan w:val="6"/>
            <w:vAlign w:val="center"/>
          </w:tcPr>
          <w:p>
            <w:pPr>
              <w:spacing w:line="460" w:lineRule="exact"/>
              <w:jc w:val="center"/>
              <w:rPr>
                <w:rFonts w:ascii="仿宋_GB2312" w:hAnsi="仿宋" w:eastAsia="仿宋_GB2312"/>
                <w:color w:val="000000"/>
                <w:sz w:val="24"/>
              </w:rPr>
            </w:pPr>
            <w:r>
              <w:rPr>
                <w:rFonts w:hint="eastAsia" w:ascii="仿宋_GB2312" w:hAnsi="仿宋" w:eastAsia="仿宋_GB2312"/>
                <w:color w:val="000000"/>
                <w:sz w:val="24"/>
              </w:rPr>
              <w:t>红旗分团委</w:t>
            </w:r>
            <w:r>
              <w:rPr>
                <w:rFonts w:ascii="仿宋_GB2312" w:hAnsi="仿宋" w:eastAsia="仿宋_GB2312"/>
                <w:color w:val="000000"/>
                <w:sz w:val="24"/>
              </w:rPr>
              <w:t xml:space="preserve">           </w:t>
            </w:r>
            <w:r>
              <w:rPr>
                <w:rFonts w:hint="eastAsia" w:ascii="仿宋_GB2312" w:hAnsi="仿宋" w:eastAsia="仿宋_GB2312"/>
                <w:color w:val="000000"/>
                <w:sz w:val="24"/>
              </w:rPr>
              <w:t xml:space="preserve">  □   </w:t>
            </w:r>
            <w:r>
              <w:rPr>
                <w:rFonts w:ascii="仿宋_GB2312" w:hAnsi="仿宋" w:eastAsia="仿宋_GB2312"/>
                <w:color w:val="000000"/>
                <w:sz w:val="24"/>
              </w:rPr>
              <w:t xml:space="preserve"> </w:t>
            </w:r>
            <w:r>
              <w:rPr>
                <w:rFonts w:hint="eastAsia" w:ascii="仿宋_GB2312" w:hAnsi="仿宋" w:eastAsia="仿宋_GB2312"/>
                <w:color w:val="000000"/>
                <w:sz w:val="24"/>
              </w:rPr>
              <w:t xml:space="preserve"> 网络宣传</w:t>
            </w:r>
            <w:r>
              <w:rPr>
                <w:rFonts w:ascii="仿宋_GB2312" w:hAnsi="仿宋" w:eastAsia="仿宋_GB2312"/>
                <w:color w:val="000000"/>
                <w:sz w:val="24"/>
              </w:rPr>
              <w:t>育人</w:t>
            </w:r>
            <w:r>
              <w:rPr>
                <w:rFonts w:hint="eastAsia" w:ascii="仿宋_GB2312" w:hAnsi="仿宋" w:eastAsia="仿宋_GB2312"/>
                <w:color w:val="000000"/>
                <w:sz w:val="24"/>
              </w:rPr>
              <w:t>单项奖    □</w:t>
            </w:r>
          </w:p>
          <w:p>
            <w:pPr>
              <w:spacing w:line="460" w:lineRule="exact"/>
              <w:jc w:val="center"/>
              <w:rPr>
                <w:rFonts w:ascii="仿宋_GB2312" w:hAnsi="仿宋" w:eastAsia="仿宋_GB2312"/>
                <w:color w:val="000000"/>
                <w:sz w:val="24"/>
              </w:rPr>
            </w:pPr>
            <w:r>
              <w:rPr>
                <w:rFonts w:hint="eastAsia" w:ascii="仿宋_GB2312" w:hAnsi="仿宋" w:eastAsia="仿宋_GB2312"/>
                <w:color w:val="000000"/>
                <w:sz w:val="24"/>
              </w:rPr>
              <w:t xml:space="preserve">实践育人单项奖  </w:t>
            </w:r>
            <w:r>
              <w:rPr>
                <w:rFonts w:ascii="仿宋_GB2312" w:hAnsi="仿宋" w:eastAsia="仿宋_GB2312"/>
                <w:color w:val="000000"/>
                <w:sz w:val="24"/>
              </w:rPr>
              <w:t xml:space="preserve"> </w:t>
            </w:r>
            <w:r>
              <w:rPr>
                <w:rFonts w:hint="eastAsia" w:ascii="仿宋_GB2312" w:hAnsi="仿宋" w:eastAsia="仿宋_GB2312"/>
                <w:color w:val="000000"/>
                <w:sz w:val="24"/>
              </w:rPr>
              <w:t xml:space="preserve">      □     组织建设</w:t>
            </w:r>
            <w:r>
              <w:rPr>
                <w:rFonts w:ascii="仿宋_GB2312" w:hAnsi="仿宋" w:eastAsia="仿宋_GB2312"/>
                <w:color w:val="000000"/>
                <w:sz w:val="24"/>
              </w:rPr>
              <w:t>育人</w:t>
            </w:r>
            <w:r>
              <w:rPr>
                <w:rFonts w:hint="eastAsia" w:ascii="仿宋_GB2312" w:hAnsi="仿宋" w:eastAsia="仿宋_GB2312"/>
                <w:color w:val="000000"/>
                <w:sz w:val="24"/>
              </w:rPr>
              <w:t>单项奖    □</w:t>
            </w:r>
          </w:p>
          <w:p>
            <w:pPr>
              <w:spacing w:line="460" w:lineRule="exact"/>
              <w:jc w:val="center"/>
              <w:rPr>
                <w:rFonts w:ascii="仿宋_GB2312" w:hAnsi="仿宋" w:eastAsia="仿宋_GB2312"/>
                <w:color w:val="000000"/>
                <w:sz w:val="24"/>
              </w:rPr>
            </w:pPr>
            <w:r>
              <w:rPr>
                <w:rFonts w:hint="eastAsia" w:ascii="仿宋_GB2312" w:hAnsi="仿宋" w:eastAsia="仿宋_GB2312"/>
                <w:color w:val="000000"/>
                <w:sz w:val="24"/>
              </w:rPr>
              <w:t xml:space="preserve">校园文化育人单项奖   </w:t>
            </w:r>
            <w:r>
              <w:rPr>
                <w:rFonts w:ascii="仿宋_GB2312" w:hAnsi="仿宋" w:eastAsia="仿宋_GB2312"/>
                <w:color w:val="000000"/>
                <w:sz w:val="24"/>
              </w:rPr>
              <w:t xml:space="preserve"> </w:t>
            </w:r>
            <w:r>
              <w:rPr>
                <w:rFonts w:hint="eastAsia" w:ascii="仿宋_GB2312" w:hAnsi="仿宋" w:eastAsia="仿宋_GB2312"/>
                <w:color w:val="000000"/>
                <w:sz w:val="24"/>
              </w:rPr>
              <w:t xml:space="preserve"> □    </w:t>
            </w:r>
            <w:r>
              <w:rPr>
                <w:rFonts w:ascii="仿宋_GB2312" w:hAnsi="仿宋" w:eastAsia="仿宋_GB2312"/>
                <w:color w:val="000000"/>
                <w:sz w:val="24"/>
              </w:rPr>
              <w:t xml:space="preserve"> </w:t>
            </w:r>
            <w:r>
              <w:rPr>
                <w:rFonts w:hint="eastAsia" w:ascii="仿宋_GB2312" w:hAnsi="仿宋" w:eastAsia="仿宋_GB2312"/>
                <w:color w:val="000000"/>
                <w:sz w:val="24"/>
              </w:rPr>
              <w:t>改革</w:t>
            </w:r>
            <w:r>
              <w:rPr>
                <w:rFonts w:ascii="仿宋_GB2312" w:hAnsi="仿宋" w:eastAsia="仿宋_GB2312"/>
                <w:color w:val="000000"/>
                <w:sz w:val="24"/>
              </w:rPr>
              <w:t>创新</w:t>
            </w:r>
            <w:r>
              <w:rPr>
                <w:rFonts w:hint="eastAsia" w:ascii="仿宋_GB2312" w:hAnsi="仿宋" w:eastAsia="仿宋_GB2312"/>
                <w:color w:val="000000"/>
                <w:sz w:val="24"/>
              </w:rPr>
              <w:t xml:space="preserve">单项奖  </w:t>
            </w:r>
            <w:r>
              <w:rPr>
                <w:rFonts w:ascii="仿宋_GB2312" w:hAnsi="仿宋" w:eastAsia="仿宋_GB2312"/>
                <w:color w:val="000000"/>
                <w:sz w:val="24"/>
              </w:rPr>
              <w:t xml:space="preserve">    </w:t>
            </w:r>
            <w:r>
              <w:rPr>
                <w:rFonts w:hint="eastAsia" w:ascii="仿宋_GB2312" w:hAnsi="仿宋" w:eastAsia="仿宋_GB2312"/>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2" w:hRule="exact"/>
        </w:trPr>
        <w:tc>
          <w:tcPr>
            <w:tcW w:w="1712" w:type="dxa"/>
            <w:gridSpan w:val="2"/>
            <w:vAlign w:val="center"/>
          </w:tcPr>
          <w:p>
            <w:pPr>
              <w:spacing w:line="460" w:lineRule="exact"/>
              <w:rPr>
                <w:rFonts w:ascii="仿宋_GB2312" w:eastAsia="仿宋_GB2312"/>
                <w:sz w:val="24"/>
              </w:rPr>
            </w:pPr>
            <w:r>
              <w:rPr>
                <w:rFonts w:hint="eastAsia" w:ascii="仿宋_GB2312" w:eastAsia="仿宋_GB2312"/>
                <w:sz w:val="24"/>
              </w:rPr>
              <w:t>2022-2023学年工作开展情况及主要成效</w:t>
            </w:r>
          </w:p>
        </w:tc>
        <w:tc>
          <w:tcPr>
            <w:tcW w:w="7054" w:type="dxa"/>
            <w:gridSpan w:val="4"/>
            <w:vAlign w:val="center"/>
          </w:tcPr>
          <w:p>
            <w:pPr>
              <w:spacing w:line="460" w:lineRule="exact"/>
              <w:jc w:val="center"/>
              <w:rPr>
                <w:rFonts w:ascii="仿宋_GB2312" w:hAnsi="仿宋" w:eastAsia="仿宋_GB2312"/>
                <w:b/>
                <w:color w:val="000000"/>
                <w:sz w:val="24"/>
              </w:rPr>
            </w:pPr>
            <w:r>
              <w:rPr>
                <w:rFonts w:hint="eastAsia" w:ascii="仿宋_GB2312" w:hAnsi="仿宋" w:eastAsia="仿宋_GB2312"/>
                <w:b/>
                <w:color w:val="000000"/>
                <w:sz w:val="24"/>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4" w:hRule="atLeast"/>
        </w:trPr>
        <w:tc>
          <w:tcPr>
            <w:tcW w:w="1712" w:type="dxa"/>
            <w:gridSpan w:val="2"/>
            <w:vAlign w:val="center"/>
          </w:tcPr>
          <w:p>
            <w:pPr>
              <w:spacing w:line="460" w:lineRule="exact"/>
              <w:rPr>
                <w:rFonts w:ascii="仿宋_GB2312" w:hAnsi="仿宋" w:eastAsia="仿宋_GB2312"/>
                <w:color w:val="000000"/>
                <w:sz w:val="24"/>
              </w:rPr>
            </w:pPr>
            <w:r>
              <w:rPr>
                <w:rFonts w:hint="eastAsia" w:ascii="仿宋_GB2312" w:eastAsia="仿宋_GB2312"/>
                <w:sz w:val="24"/>
              </w:rPr>
              <w:t>学院党委对2022-2023学年学院团委工作评价意见</w:t>
            </w:r>
          </w:p>
        </w:tc>
        <w:tc>
          <w:tcPr>
            <w:tcW w:w="7054" w:type="dxa"/>
            <w:gridSpan w:val="4"/>
            <w:vAlign w:val="center"/>
          </w:tcPr>
          <w:p>
            <w:pPr>
              <w:spacing w:line="460" w:lineRule="exact"/>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9" w:hRule="atLeast"/>
        </w:trPr>
        <w:tc>
          <w:tcPr>
            <w:tcW w:w="1712" w:type="dxa"/>
            <w:gridSpan w:val="2"/>
            <w:vAlign w:val="center"/>
          </w:tcPr>
          <w:p>
            <w:pPr>
              <w:spacing w:line="460" w:lineRule="exact"/>
              <w:rPr>
                <w:rFonts w:ascii="仿宋_GB2312" w:hAnsi="仿宋" w:eastAsia="仿宋_GB2312"/>
                <w:color w:val="000000"/>
                <w:sz w:val="24"/>
              </w:rPr>
            </w:pPr>
            <w:r>
              <w:rPr>
                <w:rFonts w:hint="eastAsia" w:ascii="仿宋_GB2312" w:eastAsia="仿宋_GB2312"/>
                <w:sz w:val="24"/>
              </w:rPr>
              <w:t>学院党委对2022-2023学年学院团委工作评分（满分100分）</w:t>
            </w:r>
          </w:p>
        </w:tc>
        <w:tc>
          <w:tcPr>
            <w:tcW w:w="7054" w:type="dxa"/>
            <w:gridSpan w:val="4"/>
            <w:vAlign w:val="center"/>
          </w:tcPr>
          <w:p>
            <w:pPr>
              <w:spacing w:line="460" w:lineRule="exact"/>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0" w:hRule="atLeast"/>
        </w:trPr>
        <w:tc>
          <w:tcPr>
            <w:tcW w:w="1712" w:type="dxa"/>
            <w:gridSpan w:val="2"/>
            <w:vAlign w:val="center"/>
          </w:tcPr>
          <w:p>
            <w:pPr>
              <w:spacing w:line="460" w:lineRule="exact"/>
              <w:rPr>
                <w:rFonts w:ascii="仿宋_GB2312" w:hAnsi="仿宋" w:eastAsia="仿宋_GB2312"/>
                <w:color w:val="000000"/>
                <w:sz w:val="24"/>
              </w:rPr>
            </w:pPr>
            <w:r>
              <w:rPr>
                <w:rFonts w:hint="eastAsia" w:ascii="仿宋_GB2312" w:eastAsia="仿宋_GB2312"/>
                <w:sz w:val="24"/>
              </w:rPr>
              <w:t>学院党委对学校共青团工作的意见建议</w:t>
            </w:r>
          </w:p>
        </w:tc>
        <w:tc>
          <w:tcPr>
            <w:tcW w:w="7054" w:type="dxa"/>
            <w:gridSpan w:val="4"/>
            <w:vAlign w:val="center"/>
          </w:tcPr>
          <w:p>
            <w:pPr>
              <w:spacing w:line="460" w:lineRule="exact"/>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4" w:hRule="atLeast"/>
        </w:trPr>
        <w:tc>
          <w:tcPr>
            <w:tcW w:w="8766" w:type="dxa"/>
            <w:gridSpan w:val="6"/>
            <w:vAlign w:val="center"/>
          </w:tcPr>
          <w:p>
            <w:pPr>
              <w:spacing w:line="460" w:lineRule="exact"/>
              <w:rPr>
                <w:rFonts w:ascii="仿宋_GB2312" w:hAnsi="仿宋" w:eastAsia="仿宋_GB2312"/>
                <w:color w:val="000000"/>
                <w:sz w:val="24"/>
              </w:rPr>
            </w:pPr>
          </w:p>
          <w:p>
            <w:pPr>
              <w:spacing w:line="460" w:lineRule="exact"/>
              <w:rPr>
                <w:rFonts w:ascii="仿宋_GB2312" w:hAnsi="仿宋" w:eastAsia="仿宋_GB2312"/>
                <w:color w:val="000000"/>
                <w:sz w:val="24"/>
              </w:rPr>
            </w:pPr>
          </w:p>
          <w:p>
            <w:pPr>
              <w:spacing w:line="460" w:lineRule="exact"/>
              <w:rPr>
                <w:rFonts w:ascii="仿宋_GB2312" w:hAnsi="仿宋" w:eastAsia="仿宋_GB2312"/>
                <w:color w:val="000000"/>
                <w:sz w:val="24"/>
              </w:rPr>
            </w:pPr>
            <w:r>
              <w:rPr>
                <w:rFonts w:hint="eastAsia" w:ascii="仿宋_GB2312" w:eastAsia="仿宋_GB2312"/>
                <w:sz w:val="24"/>
              </w:rPr>
              <w:t>学院党委领导签字</w:t>
            </w:r>
            <w:r>
              <w:rPr>
                <w:rFonts w:hint="eastAsia" w:ascii="仿宋_GB2312" w:hAnsi="仿宋" w:eastAsia="仿宋_GB2312"/>
                <w:color w:val="000000"/>
                <w:sz w:val="24"/>
              </w:rPr>
              <w:t>：</w:t>
            </w:r>
            <w:r>
              <w:rPr>
                <w:rFonts w:ascii="仿宋_GB2312" w:hAnsi="仿宋" w:eastAsia="仿宋_GB2312"/>
                <w:color w:val="000000"/>
                <w:sz w:val="24"/>
              </w:rPr>
              <w:t xml:space="preserve">                          </w:t>
            </w:r>
            <w:r>
              <w:rPr>
                <w:rFonts w:hint="eastAsia" w:ascii="仿宋_GB2312" w:hAnsi="仿宋" w:eastAsia="仿宋_GB2312"/>
                <w:color w:val="000000"/>
                <w:sz w:val="24"/>
              </w:rPr>
              <w:t>（盖章）</w:t>
            </w:r>
          </w:p>
          <w:p>
            <w:pPr>
              <w:spacing w:line="460" w:lineRule="exact"/>
              <w:rPr>
                <w:rFonts w:ascii="仿宋_GB2312" w:hAnsi="仿宋" w:eastAsia="仿宋_GB2312"/>
                <w:b/>
                <w:color w:val="000000"/>
                <w:sz w:val="24"/>
              </w:rPr>
            </w:pPr>
            <w:r>
              <w:rPr>
                <w:rFonts w:hint="eastAsia" w:ascii="仿宋_GB2312" w:hAnsi="仿宋" w:eastAsia="仿宋_GB2312"/>
                <w:color w:val="000000"/>
                <w:sz w:val="24"/>
              </w:rPr>
              <w:t xml:space="preserve">                </w:t>
            </w:r>
            <w:r>
              <w:rPr>
                <w:rFonts w:ascii="仿宋_GB2312" w:hAnsi="仿宋" w:eastAsia="仿宋_GB2312"/>
                <w:color w:val="000000"/>
                <w:sz w:val="24"/>
              </w:rPr>
              <w:t xml:space="preserve">          </w:t>
            </w:r>
            <w:r>
              <w:rPr>
                <w:rFonts w:hint="eastAsia" w:ascii="仿宋_GB2312" w:hAnsi="仿宋" w:eastAsia="仿宋_GB2312"/>
                <w:color w:val="000000"/>
                <w:sz w:val="24"/>
              </w:rPr>
              <w:t xml:space="preserve">      </w:t>
            </w:r>
            <w:r>
              <w:rPr>
                <w:rFonts w:ascii="仿宋_GB2312" w:hAnsi="仿宋" w:eastAsia="仿宋_GB2312"/>
                <w:color w:val="000000"/>
                <w:sz w:val="24"/>
              </w:rPr>
              <w:t xml:space="preserve"> </w:t>
            </w:r>
            <w:r>
              <w:rPr>
                <w:rFonts w:hint="eastAsia" w:ascii="仿宋_GB2312" w:hAnsi="仿宋" w:eastAsia="仿宋_GB2312"/>
                <w:color w:val="000000"/>
                <w:sz w:val="24"/>
              </w:rPr>
              <w:t xml:space="preserve">            </w:t>
            </w:r>
            <w:r>
              <w:rPr>
                <w:rFonts w:ascii="仿宋_GB2312" w:hAnsi="仿宋" w:eastAsia="仿宋_GB2312"/>
                <w:color w:val="000000"/>
                <w:sz w:val="24"/>
              </w:rPr>
              <w:t xml:space="preserve"> </w:t>
            </w:r>
            <w:r>
              <w:rPr>
                <w:rFonts w:hint="eastAsia" w:ascii="仿宋_GB2312" w:hAnsi="仿宋" w:eastAsia="仿宋_GB2312"/>
                <w:color w:val="000000"/>
                <w:sz w:val="24"/>
              </w:rPr>
              <w:t>年  月  日</w:t>
            </w:r>
          </w:p>
        </w:tc>
      </w:tr>
    </w:tbl>
    <w:p>
      <w:pPr>
        <w:spacing w:line="460" w:lineRule="exact"/>
        <w:rPr>
          <w:rFonts w:ascii="仿宋_GB2312" w:hAnsi="仿宋" w:eastAsia="仿宋_GB2312"/>
          <w:color w:val="000000"/>
          <w:szCs w:val="21"/>
        </w:rPr>
      </w:pPr>
      <w:r>
        <w:rPr>
          <w:rFonts w:hint="eastAsia" w:ascii="仿宋_GB2312" w:hAnsi="仿宋" w:eastAsia="仿宋_GB2312"/>
          <w:color w:val="000000"/>
          <w:szCs w:val="21"/>
        </w:rPr>
        <w:t>说明：1、此表可打印；</w:t>
      </w:r>
    </w:p>
    <w:p>
      <w:pPr>
        <w:spacing w:line="460" w:lineRule="exact"/>
        <w:ind w:firstLine="630" w:firstLineChars="300"/>
        <w:rPr>
          <w:rFonts w:ascii="仿宋_GB2312" w:hAnsi="仿宋" w:eastAsia="仿宋_GB2312"/>
          <w:color w:val="000000"/>
          <w:szCs w:val="21"/>
        </w:rPr>
      </w:pPr>
      <w:r>
        <w:rPr>
          <w:rFonts w:ascii="仿宋_GB2312" w:hAnsi="仿宋" w:eastAsia="仿宋_GB2312"/>
          <w:color w:val="000000"/>
          <w:szCs w:val="21"/>
        </w:rPr>
        <w:t>2</w:t>
      </w:r>
      <w:r>
        <w:rPr>
          <w:rFonts w:hint="eastAsia" w:ascii="仿宋_GB2312" w:hAnsi="仿宋" w:eastAsia="仿宋_GB2312"/>
          <w:color w:val="000000"/>
          <w:szCs w:val="21"/>
        </w:rPr>
        <w:t>、此表可附页。</w:t>
      </w:r>
    </w:p>
    <w:p>
      <w:pPr>
        <w:spacing w:line="460" w:lineRule="exact"/>
        <w:jc w:val="center"/>
        <w:rPr>
          <w:rFonts w:ascii="仿宋_GB2312" w:eastAsia="仿宋_GB2312"/>
          <w:bCs/>
          <w:vanish/>
          <w:sz w:val="28"/>
          <w:szCs w:val="28"/>
        </w:rPr>
      </w:pPr>
      <w:r>
        <w:rPr>
          <w:rFonts w:hint="eastAsia" w:ascii="仿宋_GB2312" w:hAnsi="仿宋" w:eastAsia="仿宋_GB2312"/>
          <w:color w:val="000000"/>
          <w:szCs w:val="21"/>
        </w:rPr>
        <w:t>共青团中南财经政法大学委员会二</w:t>
      </w:r>
      <w:r>
        <w:rPr>
          <w:rFonts w:hint="eastAsia" w:ascii="微软雅黑" w:hAnsi="微软雅黑" w:eastAsia="微软雅黑" w:cs="微软雅黑"/>
          <w:color w:val="000000"/>
          <w:szCs w:val="21"/>
        </w:rPr>
        <w:t>〇</w:t>
      </w:r>
      <w:r>
        <w:rPr>
          <w:rFonts w:hint="eastAsia" w:ascii="仿宋_GB2312" w:hAnsi="仿宋" w:eastAsia="仿宋_GB2312"/>
          <w:color w:val="000000"/>
          <w:szCs w:val="21"/>
        </w:rPr>
        <w:t>二三年制</w:t>
      </w:r>
    </w:p>
    <w:p>
      <w:pPr>
        <w:spacing w:before="156" w:beforeLines="50" w:line="460" w:lineRule="exact"/>
        <w:jc w:val="center"/>
        <w:rPr>
          <w:rFonts w:ascii="仿宋_GB2312" w:hAnsi="仿宋" w:eastAsia="仿宋_GB2312"/>
          <w:color w:val="000000"/>
          <w:kern w:val="0"/>
          <w:szCs w:val="21"/>
        </w:rPr>
        <w:sectPr>
          <w:pgSz w:w="11906" w:h="16838"/>
          <w:pgMar w:top="1440" w:right="1800" w:bottom="1440" w:left="1800" w:header="851" w:footer="992" w:gutter="0"/>
          <w:cols w:space="720" w:num="1"/>
          <w:docGrid w:type="linesAndChars" w:linePitch="312" w:charSpace="0"/>
        </w:sectPr>
      </w:pPr>
    </w:p>
    <w:p>
      <w:pPr>
        <w:spacing w:after="312" w:afterLines="100" w:line="460" w:lineRule="exact"/>
        <w:jc w:val="center"/>
        <w:rPr>
          <w:rFonts w:eastAsia="方正楷体简体" w:cs="方正楷体简体"/>
          <w:b/>
          <w:bCs/>
          <w:sz w:val="28"/>
          <w:szCs w:val="28"/>
        </w:rPr>
      </w:pPr>
      <w:r>
        <w:rPr>
          <w:rFonts w:ascii="方正小标宋简体" w:hAnsi="方正小标宋简体" w:eastAsia="方正小标宋简体" w:cs="方正小标宋简体"/>
          <w:sz w:val="36"/>
          <w:szCs w:val="36"/>
        </w:rPr>
        <w:t>2022—2023</w:t>
      </w:r>
      <w:r>
        <w:rPr>
          <w:rFonts w:hint="eastAsia" w:ascii="方正小标宋简体" w:hAnsi="方正小标宋简体" w:eastAsia="方正小标宋简体" w:cs="方正小标宋简体"/>
          <w:sz w:val="36"/>
          <w:szCs w:val="36"/>
        </w:rPr>
        <w:t>学年分团委（团总支）共青团工作考核评估表</w:t>
      </w:r>
    </w:p>
    <w:p>
      <w:pPr>
        <w:spacing w:line="360" w:lineRule="exact"/>
        <w:ind w:firstLine="560" w:firstLineChars="200"/>
        <w:jc w:val="left"/>
        <w:rPr>
          <w:rFonts w:ascii="仿宋_GB2312" w:eastAsia="仿宋_GB2312"/>
          <w:bCs/>
          <w:sz w:val="24"/>
          <w:u w:val="single"/>
        </w:rPr>
      </w:pPr>
      <w:r>
        <w:rPr>
          <w:rFonts w:hint="eastAsia" w:ascii="楷体_GB2312" w:hAnsi="楷体_GB2312" w:eastAsia="楷体_GB2312" w:cs="楷体_GB2312"/>
          <w:sz w:val="28"/>
          <w:szCs w:val="28"/>
        </w:rPr>
        <w:t xml:space="preserve">单位（加盖学院团委公章）： </w:t>
      </w:r>
      <w:r>
        <w:rPr>
          <w:rFonts w:ascii="楷体_GB2312" w:hAnsi="楷体_GB2312" w:eastAsia="楷体_GB2312" w:cs="楷体_GB2312"/>
          <w:sz w:val="28"/>
          <w:szCs w:val="28"/>
        </w:rPr>
        <w:t xml:space="preserve">                                              </w:t>
      </w:r>
      <w:r>
        <w:rPr>
          <w:rFonts w:hint="eastAsia" w:ascii="楷体_GB2312" w:hAnsi="楷体_GB2312" w:eastAsia="楷体_GB2312" w:cs="楷体_GB2312"/>
          <w:sz w:val="28"/>
          <w:szCs w:val="28"/>
        </w:rPr>
        <w:t>填报时间：</w:t>
      </w:r>
      <w:r>
        <w:rPr>
          <w:rFonts w:ascii="楷体_GB2312" w:hAnsi="楷体_GB2312" w:eastAsia="楷体_GB2312" w:cs="楷体_GB2312"/>
          <w:sz w:val="28"/>
          <w:szCs w:val="28"/>
        </w:rPr>
        <w:t xml:space="preserve">       </w:t>
      </w:r>
    </w:p>
    <w:tbl>
      <w:tblPr>
        <w:tblStyle w:val="7"/>
        <w:tblW w:w="12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5953"/>
        <w:gridCol w:w="2552"/>
        <w:gridCol w:w="1855"/>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559" w:type="dxa"/>
            <w:vAlign w:val="center"/>
          </w:tcPr>
          <w:p>
            <w:pPr>
              <w:widowControl/>
              <w:spacing w:line="360" w:lineRule="exact"/>
              <w:jc w:val="center"/>
              <w:rPr>
                <w:rFonts w:ascii="黑体" w:hAnsi="黑体" w:eastAsia="黑体"/>
                <w:bCs/>
                <w:color w:val="000000"/>
                <w:kern w:val="0"/>
                <w:sz w:val="30"/>
                <w:szCs w:val="30"/>
              </w:rPr>
            </w:pPr>
            <w:r>
              <w:rPr>
                <w:rFonts w:hint="eastAsia" w:ascii="黑体" w:hAnsi="黑体" w:eastAsia="黑体" w:cs="方正黑体简体"/>
                <w:bCs/>
                <w:color w:val="000000"/>
                <w:kern w:val="0"/>
                <w:sz w:val="30"/>
                <w:szCs w:val="30"/>
              </w:rPr>
              <w:t>大类项目</w:t>
            </w:r>
          </w:p>
        </w:tc>
        <w:tc>
          <w:tcPr>
            <w:tcW w:w="5953" w:type="dxa"/>
            <w:vAlign w:val="center"/>
          </w:tcPr>
          <w:p>
            <w:pPr>
              <w:widowControl/>
              <w:spacing w:line="360" w:lineRule="exact"/>
              <w:jc w:val="center"/>
              <w:rPr>
                <w:rFonts w:ascii="黑体" w:hAnsi="黑体" w:eastAsia="黑体"/>
                <w:bCs/>
                <w:color w:val="000000"/>
                <w:kern w:val="0"/>
                <w:sz w:val="30"/>
                <w:szCs w:val="30"/>
              </w:rPr>
            </w:pPr>
            <w:r>
              <w:rPr>
                <w:rFonts w:hint="eastAsia" w:ascii="黑体" w:hAnsi="黑体" w:eastAsia="黑体" w:cs="方正黑体简体"/>
                <w:bCs/>
                <w:color w:val="000000"/>
                <w:kern w:val="0"/>
                <w:sz w:val="30"/>
                <w:szCs w:val="30"/>
              </w:rPr>
              <w:t>具体项目</w:t>
            </w:r>
          </w:p>
        </w:tc>
        <w:tc>
          <w:tcPr>
            <w:tcW w:w="2552" w:type="dxa"/>
            <w:vAlign w:val="center"/>
          </w:tcPr>
          <w:p>
            <w:pPr>
              <w:widowControl/>
              <w:spacing w:line="360" w:lineRule="exact"/>
              <w:jc w:val="center"/>
              <w:rPr>
                <w:rFonts w:ascii="黑体" w:hAnsi="黑体" w:eastAsia="黑体" w:cs="方正黑体简体"/>
                <w:bCs/>
                <w:color w:val="000000"/>
                <w:kern w:val="0"/>
                <w:sz w:val="30"/>
                <w:szCs w:val="30"/>
              </w:rPr>
            </w:pPr>
            <w:r>
              <w:rPr>
                <w:rFonts w:hint="eastAsia" w:ascii="黑体" w:hAnsi="黑体" w:eastAsia="黑体" w:cs="方正黑体简体"/>
                <w:bCs/>
                <w:color w:val="000000"/>
                <w:kern w:val="0"/>
                <w:sz w:val="30"/>
                <w:szCs w:val="30"/>
              </w:rPr>
              <w:t>工作完成情况</w:t>
            </w:r>
          </w:p>
        </w:tc>
        <w:tc>
          <w:tcPr>
            <w:tcW w:w="1855" w:type="dxa"/>
            <w:vAlign w:val="center"/>
          </w:tcPr>
          <w:p>
            <w:pPr>
              <w:widowControl/>
              <w:spacing w:line="360" w:lineRule="exact"/>
              <w:jc w:val="center"/>
              <w:rPr>
                <w:rFonts w:ascii="黑体" w:hAnsi="黑体" w:eastAsia="黑体" w:cs="方正黑体简体"/>
                <w:bCs/>
                <w:color w:val="000000"/>
                <w:kern w:val="0"/>
                <w:sz w:val="30"/>
                <w:szCs w:val="30"/>
              </w:rPr>
            </w:pPr>
            <w:r>
              <w:rPr>
                <w:rFonts w:hint="eastAsia" w:ascii="黑体" w:hAnsi="黑体" w:eastAsia="黑体" w:cs="方正黑体简体"/>
                <w:bCs/>
                <w:color w:val="000000"/>
                <w:kern w:val="0"/>
                <w:sz w:val="30"/>
                <w:szCs w:val="30"/>
              </w:rPr>
              <w:t>自评成效</w:t>
            </w:r>
          </w:p>
        </w:tc>
        <w:tc>
          <w:tcPr>
            <w:tcW w:w="1055" w:type="dxa"/>
            <w:vAlign w:val="center"/>
          </w:tcPr>
          <w:p>
            <w:pPr>
              <w:widowControl/>
              <w:spacing w:line="360" w:lineRule="exact"/>
              <w:jc w:val="center"/>
              <w:rPr>
                <w:rFonts w:ascii="黑体" w:hAnsi="黑体" w:eastAsia="黑体" w:cs="方正黑体简体"/>
                <w:bCs/>
                <w:color w:val="000000"/>
                <w:kern w:val="0"/>
                <w:sz w:val="30"/>
                <w:szCs w:val="30"/>
              </w:rPr>
            </w:pPr>
            <w:r>
              <w:rPr>
                <w:rFonts w:hint="eastAsia" w:ascii="黑体" w:hAnsi="黑体" w:eastAsia="黑体" w:cs="方正黑体简体"/>
                <w:bCs/>
                <w:color w:val="000000"/>
                <w:kern w:val="0"/>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559" w:type="dxa"/>
            <w:vAlign w:val="center"/>
          </w:tcPr>
          <w:p>
            <w:pPr>
              <w:widowControl/>
              <w:spacing w:line="360" w:lineRule="exact"/>
              <w:jc w:val="center"/>
              <w:rPr>
                <w:rFonts w:ascii="仿宋_GB2312" w:hAnsi="黑体" w:eastAsia="仿宋_GB2312"/>
                <w:b/>
                <w:bCs/>
                <w:sz w:val="22"/>
                <w:szCs w:val="21"/>
              </w:rPr>
            </w:pPr>
            <w:r>
              <w:rPr>
                <w:rFonts w:hint="eastAsia" w:ascii="仿宋_GB2312" w:hAnsi="黑体" w:eastAsia="仿宋_GB2312"/>
                <w:b/>
                <w:bCs/>
                <w:sz w:val="22"/>
                <w:szCs w:val="21"/>
              </w:rPr>
              <w:t>政治建设</w:t>
            </w:r>
          </w:p>
          <w:p>
            <w:pPr>
              <w:widowControl/>
              <w:spacing w:line="360" w:lineRule="exact"/>
              <w:jc w:val="center"/>
              <w:rPr>
                <w:rFonts w:ascii="仿宋_GB2312" w:hAnsi="黑体" w:eastAsia="仿宋_GB2312"/>
                <w:b/>
                <w:bCs/>
                <w:sz w:val="22"/>
                <w:szCs w:val="21"/>
              </w:rPr>
            </w:pPr>
            <w:r>
              <w:rPr>
                <w:rFonts w:hint="eastAsia" w:ascii="仿宋_GB2312" w:hAnsi="黑体" w:eastAsia="仿宋_GB2312"/>
                <w:b/>
                <w:bCs/>
                <w:sz w:val="22"/>
                <w:szCs w:val="21"/>
              </w:rPr>
              <w:t>（20分）</w:t>
            </w:r>
          </w:p>
        </w:tc>
        <w:tc>
          <w:tcPr>
            <w:tcW w:w="5953" w:type="dxa"/>
            <w:vAlign w:val="center"/>
          </w:tcPr>
          <w:p>
            <w:pPr>
              <w:widowControl/>
              <w:spacing w:line="360" w:lineRule="exact"/>
              <w:jc w:val="left"/>
              <w:rPr>
                <w:rFonts w:ascii="仿宋_GB2312" w:hAnsi="Calibri" w:eastAsia="仿宋_GB2312"/>
                <w:bCs/>
                <w:sz w:val="20"/>
                <w:szCs w:val="21"/>
              </w:rPr>
            </w:pPr>
            <w:r>
              <w:rPr>
                <w:rFonts w:hint="eastAsia" w:ascii="仿宋_GB2312" w:hAnsi="Calibri" w:eastAsia="仿宋_GB2312"/>
                <w:bCs/>
                <w:sz w:val="20"/>
                <w:szCs w:val="21"/>
              </w:rPr>
              <w:t>1.深入学习贯彻习近平新时代中国特色社会主义思想和党的二十大精神、建团100周年大会精神以及党的十九届六中全会精神，积极宣传党的主张，坚决贯彻党的决定，增强“四个意识”、坚定“四个自信”、做到“两个维护”，加强对团员的理想信念和国情教育，有效履行引领凝聚青年、组织动员青年、联系服务青年的职责。</w:t>
            </w:r>
          </w:p>
          <w:p>
            <w:pPr>
              <w:widowControl/>
              <w:spacing w:line="360" w:lineRule="exact"/>
              <w:jc w:val="left"/>
              <w:rPr>
                <w:rFonts w:ascii="仿宋_GB2312" w:hAnsi="Calibri" w:eastAsia="仿宋_GB2312"/>
                <w:bCs/>
                <w:sz w:val="20"/>
                <w:szCs w:val="21"/>
              </w:rPr>
            </w:pPr>
          </w:p>
          <w:p>
            <w:pPr>
              <w:widowControl/>
              <w:spacing w:line="360" w:lineRule="exact"/>
              <w:jc w:val="left"/>
              <w:rPr>
                <w:rFonts w:ascii="仿宋_GB2312" w:hAnsi="Calibri" w:eastAsia="仿宋_GB2312"/>
                <w:bCs/>
                <w:sz w:val="20"/>
                <w:szCs w:val="21"/>
              </w:rPr>
            </w:pPr>
            <w:r>
              <w:rPr>
                <w:rFonts w:hint="eastAsia" w:ascii="仿宋_GB2312" w:hAnsi="Calibri" w:eastAsia="仿宋_GB2312"/>
                <w:bCs/>
                <w:sz w:val="20"/>
                <w:szCs w:val="21"/>
              </w:rPr>
              <w:t>2.依托团学工作阵地，扎实做好团学骨干“分层次一体化”培养工作，重点通过“青马班”“团校”等，增强共青团员意识，提升团学骨干思想政治素质；积极打造“学习型”团学组织，引导团员青年将理论学习与社会实践相结合。</w:t>
            </w:r>
          </w:p>
        </w:tc>
        <w:tc>
          <w:tcPr>
            <w:tcW w:w="2552" w:type="dxa"/>
            <w:vAlign w:val="center"/>
          </w:tcPr>
          <w:p>
            <w:pPr>
              <w:spacing w:line="300" w:lineRule="exact"/>
              <w:jc w:val="left"/>
              <w:rPr>
                <w:rFonts w:ascii="仿宋_GB2312" w:hAnsi="Calibri" w:eastAsia="仿宋_GB2312"/>
                <w:bCs/>
                <w:sz w:val="18"/>
                <w:szCs w:val="18"/>
              </w:rPr>
            </w:pPr>
            <w:r>
              <w:rPr>
                <w:rFonts w:hint="eastAsia" w:ascii="仿宋_GB2312" w:hAnsi="Calibri" w:eastAsia="仿宋_GB2312"/>
                <w:bCs/>
                <w:sz w:val="18"/>
                <w:szCs w:val="18"/>
              </w:rPr>
              <w:t>举例：</w:t>
            </w:r>
          </w:p>
          <w:p>
            <w:pPr>
              <w:spacing w:line="300" w:lineRule="exact"/>
              <w:jc w:val="left"/>
              <w:rPr>
                <w:rFonts w:ascii="仿宋_GB2312" w:hAnsi="Calibri" w:eastAsia="仿宋_GB2312"/>
                <w:b/>
                <w:bCs/>
                <w:sz w:val="18"/>
                <w:szCs w:val="18"/>
              </w:rPr>
            </w:pPr>
            <w:r>
              <w:rPr>
                <w:rFonts w:hint="eastAsia" w:ascii="仿宋_GB2312" w:hAnsi="Calibri" w:eastAsia="仿宋_GB2312"/>
                <w:b/>
                <w:bCs/>
                <w:sz w:val="18"/>
                <w:szCs w:val="18"/>
              </w:rPr>
              <w:t>1.学习有关重要讲话、会议精神及“青年大学习”网上主题学习情况</w:t>
            </w:r>
          </w:p>
          <w:p>
            <w:pPr>
              <w:spacing w:line="300" w:lineRule="exact"/>
              <w:jc w:val="left"/>
              <w:rPr>
                <w:rFonts w:ascii="仿宋_GB2312" w:hAnsi="Calibri" w:eastAsia="仿宋_GB2312"/>
                <w:bCs/>
                <w:sz w:val="18"/>
                <w:szCs w:val="18"/>
              </w:rPr>
            </w:pPr>
            <w:r>
              <w:rPr>
                <w:rFonts w:hint="eastAsia" w:ascii="仿宋_GB2312" w:hAnsi="Calibri" w:eastAsia="仿宋_GB2312"/>
                <w:bCs/>
                <w:sz w:val="18"/>
                <w:szCs w:val="18"/>
              </w:rPr>
              <w:t>①围绕习近平新时代中国特色社会主义思想、党的二十大、建团100周年大会精神主题，利用“青年大学习”、主题团日活动、“分层次一体化”培训、“开学第一课”等方式，累计开展学习宣传活动百余场，覆盖全校团员青年；邀请团省委宣传部、中青报领导专家等为全校专职团干宣讲党的二十大和建团100周年大会精神。</w:t>
            </w:r>
          </w:p>
          <w:p>
            <w:pPr>
              <w:spacing w:line="300" w:lineRule="exact"/>
              <w:jc w:val="left"/>
              <w:rPr>
                <w:rFonts w:ascii="仿宋_GB2312" w:hAnsi="Calibri" w:eastAsia="仿宋_GB2312"/>
                <w:bCs/>
                <w:sz w:val="18"/>
                <w:szCs w:val="18"/>
              </w:rPr>
            </w:pPr>
            <w:r>
              <w:rPr>
                <w:rFonts w:hint="eastAsia" w:ascii="仿宋_GB2312" w:hAnsi="Calibri" w:eastAsia="仿宋_GB2312"/>
                <w:bCs/>
                <w:sz w:val="18"/>
                <w:szCs w:val="18"/>
              </w:rPr>
              <w:t>②部署开展“青年大学习”活动，共成立7个新时代青年学习社（研习社），8期线上团课累计共39911人次，参学率不断提高。</w:t>
            </w:r>
          </w:p>
          <w:p>
            <w:pPr>
              <w:spacing w:line="300" w:lineRule="exact"/>
              <w:jc w:val="left"/>
              <w:rPr>
                <w:rFonts w:ascii="仿宋_GB2312" w:hAnsi="Calibri" w:eastAsia="仿宋_GB2312"/>
                <w:b/>
                <w:bCs/>
                <w:sz w:val="18"/>
                <w:szCs w:val="18"/>
              </w:rPr>
            </w:pPr>
            <w:r>
              <w:rPr>
                <w:rFonts w:hint="eastAsia" w:ascii="仿宋_GB2312" w:hAnsi="Calibri" w:eastAsia="仿宋_GB2312"/>
                <w:b/>
                <w:bCs/>
                <w:sz w:val="18"/>
                <w:szCs w:val="18"/>
              </w:rPr>
              <w:t>2.思想政治引领和价值引领</w:t>
            </w:r>
          </w:p>
          <w:p>
            <w:pPr>
              <w:spacing w:line="300" w:lineRule="exact"/>
              <w:jc w:val="left"/>
              <w:rPr>
                <w:rFonts w:ascii="仿宋_GB2312" w:hAnsi="Calibri" w:eastAsia="仿宋_GB2312"/>
                <w:bCs/>
                <w:sz w:val="18"/>
                <w:szCs w:val="18"/>
              </w:rPr>
            </w:pPr>
            <w:r>
              <w:rPr>
                <w:rFonts w:hint="eastAsia" w:ascii="仿宋_GB2312" w:hAnsi="Calibri" w:eastAsia="仿宋_GB2312"/>
                <w:bCs/>
                <w:sz w:val="18"/>
                <w:szCs w:val="18"/>
              </w:rPr>
              <w:t>①</w:t>
            </w:r>
            <w:r>
              <w:rPr>
                <w:rFonts w:ascii="仿宋_GB2312" w:hAnsi="Calibri" w:eastAsia="仿宋_GB2312"/>
                <w:bCs/>
                <w:sz w:val="18"/>
                <w:szCs w:val="18"/>
              </w:rPr>
              <w:t>4</w:t>
            </w:r>
            <w:r>
              <w:rPr>
                <w:rFonts w:hint="eastAsia" w:ascii="仿宋_GB2312" w:hAnsi="Calibri" w:eastAsia="仿宋_GB2312"/>
                <w:bCs/>
                <w:sz w:val="18"/>
                <w:szCs w:val="18"/>
              </w:rPr>
              <w:t>月，我校2个团支部获全国2017年度“活力团支部”称号；4月，组织开展2017-2018学年校级主题团日活动设计大赛；5月，开展“新时代 新青年 新征程”五四系列活动；7-8月，部署开展“学思践悟二十大，青春建功新时代”暑期社会实践；9月，组织开展“青年大学习·百生讲坛”优秀主讲人选拔活动，做好省级推荐工作.</w:t>
            </w:r>
            <w:r>
              <w:rPr>
                <w:rFonts w:ascii="仿宋_GB2312" w:hAnsi="Calibri" w:eastAsia="仿宋_GB2312"/>
                <w:bCs/>
                <w:sz w:val="18"/>
                <w:szCs w:val="18"/>
              </w:rPr>
              <w:t>...</w:t>
            </w:r>
          </w:p>
          <w:p>
            <w:pPr>
              <w:spacing w:line="300" w:lineRule="exact"/>
              <w:jc w:val="left"/>
              <w:rPr>
                <w:rFonts w:ascii="仿宋_GB2312" w:hAnsi="Calibri" w:eastAsia="仿宋_GB2312"/>
                <w:bCs/>
                <w:sz w:val="18"/>
                <w:szCs w:val="18"/>
              </w:rPr>
            </w:pPr>
            <w:r>
              <w:rPr>
                <w:rFonts w:hint="eastAsia" w:ascii="仿宋_GB2312" w:hAnsi="Calibri" w:eastAsia="仿宋_GB2312"/>
                <w:bCs/>
                <w:sz w:val="18"/>
                <w:szCs w:val="18"/>
              </w:rPr>
              <w:t>②组织开展第11期校级“分层次一体化”培训班，青马班、团学骨干班、团校班，分别覆盖80人、200人、300人，每月开展一次授课或实践活动，11月完成结业评优表彰工作；12月，第12期“分层次一体化”培训班开班，校党委书记栾永玉为青马班作主题授课.</w:t>
            </w:r>
            <w:r>
              <w:rPr>
                <w:rFonts w:ascii="仿宋_GB2312" w:hAnsi="Calibri" w:eastAsia="仿宋_GB2312"/>
                <w:bCs/>
                <w:sz w:val="18"/>
                <w:szCs w:val="18"/>
              </w:rPr>
              <w:t>..</w:t>
            </w:r>
          </w:p>
        </w:tc>
        <w:tc>
          <w:tcPr>
            <w:tcW w:w="1855" w:type="dxa"/>
            <w:vAlign w:val="center"/>
          </w:tcPr>
          <w:p>
            <w:pPr>
              <w:spacing w:line="360" w:lineRule="exact"/>
              <w:jc w:val="center"/>
              <w:rPr>
                <w:rFonts w:ascii="仿宋_GB2312" w:hAnsi="Calibri" w:eastAsia="仿宋_GB2312"/>
                <w:bCs/>
                <w:szCs w:val="21"/>
              </w:rPr>
            </w:pPr>
          </w:p>
        </w:tc>
        <w:tc>
          <w:tcPr>
            <w:tcW w:w="1055" w:type="dxa"/>
            <w:vAlign w:val="center"/>
          </w:tcPr>
          <w:p>
            <w:pPr>
              <w:spacing w:line="360" w:lineRule="exact"/>
              <w:jc w:val="center"/>
              <w:rPr>
                <w:rFonts w:ascii="仿宋_GB2312" w:hAnsi="Calibri"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559" w:type="dxa"/>
            <w:vAlign w:val="center"/>
          </w:tcPr>
          <w:p>
            <w:pPr>
              <w:widowControl/>
              <w:spacing w:line="360" w:lineRule="exact"/>
              <w:jc w:val="center"/>
              <w:rPr>
                <w:rFonts w:ascii="仿宋_GB2312" w:hAnsi="黑体" w:eastAsia="仿宋_GB2312"/>
                <w:b/>
                <w:bCs/>
                <w:sz w:val="22"/>
                <w:szCs w:val="21"/>
              </w:rPr>
            </w:pPr>
            <w:r>
              <w:rPr>
                <w:rFonts w:hint="eastAsia" w:ascii="仿宋_GB2312" w:hAnsi="黑体" w:eastAsia="仿宋_GB2312"/>
                <w:b/>
                <w:bCs/>
                <w:sz w:val="22"/>
                <w:szCs w:val="21"/>
              </w:rPr>
              <w:t>宣传建设</w:t>
            </w:r>
          </w:p>
          <w:p>
            <w:pPr>
              <w:widowControl/>
              <w:spacing w:line="360" w:lineRule="exact"/>
              <w:jc w:val="center"/>
              <w:rPr>
                <w:rFonts w:ascii="仿宋_GB2312" w:hAnsi="黑体" w:eastAsia="仿宋_GB2312"/>
                <w:b/>
                <w:bCs/>
                <w:sz w:val="22"/>
                <w:szCs w:val="21"/>
              </w:rPr>
            </w:pPr>
            <w:r>
              <w:rPr>
                <w:rFonts w:hint="eastAsia" w:ascii="仿宋_GB2312" w:hAnsi="黑体" w:eastAsia="仿宋_GB2312"/>
                <w:b/>
                <w:bCs/>
                <w:sz w:val="22"/>
                <w:szCs w:val="21"/>
              </w:rPr>
              <w:t>（20分）</w:t>
            </w:r>
          </w:p>
        </w:tc>
        <w:tc>
          <w:tcPr>
            <w:tcW w:w="5953" w:type="dxa"/>
            <w:vAlign w:val="center"/>
          </w:tcPr>
          <w:p>
            <w:pPr>
              <w:widowControl/>
              <w:spacing w:line="360" w:lineRule="exact"/>
              <w:jc w:val="left"/>
              <w:rPr>
                <w:rFonts w:ascii="仿宋_GB2312" w:hAnsi="Calibri" w:eastAsia="仿宋_GB2312"/>
                <w:bCs/>
                <w:sz w:val="20"/>
                <w:szCs w:val="21"/>
              </w:rPr>
            </w:pPr>
            <w:r>
              <w:rPr>
                <w:rFonts w:hint="eastAsia" w:ascii="仿宋_GB2312" w:hAnsi="Calibri" w:eastAsia="仿宋_GB2312"/>
                <w:bCs/>
                <w:sz w:val="20"/>
                <w:szCs w:val="21"/>
              </w:rPr>
              <w:t>1.聚焦思想政治引领和价值引领的主业主责，以学习宣传贯彻</w:t>
            </w:r>
            <w:r>
              <w:rPr>
                <w:rFonts w:hint="eastAsia" w:ascii="仿宋_GB2312" w:hAnsi="Calibri" w:eastAsia="仿宋_GB2312"/>
                <w:bCs/>
                <w:sz w:val="20"/>
                <w:szCs w:val="21"/>
                <w:lang w:eastAsia="zh-CN"/>
              </w:rPr>
              <w:t>习近平新时代中国特色社会主义</w:t>
            </w:r>
            <w:r>
              <w:rPr>
                <w:rFonts w:hint="eastAsia" w:ascii="仿宋_GB2312" w:hAnsi="Calibri" w:eastAsia="仿宋_GB2312"/>
                <w:bCs/>
                <w:sz w:val="20"/>
                <w:szCs w:val="21"/>
              </w:rPr>
              <w:t>思想、习近平总书记系列重要讲话精神、培育和践行社会主义核心价值观为主要内容，利用团属宣传思想阵地，抓住重要节点和历史契机，围绕“新中国成立70周年”“建党1</w:t>
            </w:r>
            <w:r>
              <w:rPr>
                <w:rFonts w:ascii="仿宋_GB2312" w:hAnsi="Calibri" w:eastAsia="仿宋_GB2312"/>
                <w:bCs/>
                <w:sz w:val="20"/>
                <w:szCs w:val="21"/>
              </w:rPr>
              <w:t>00</w:t>
            </w:r>
            <w:r>
              <w:rPr>
                <w:rFonts w:hint="eastAsia" w:ascii="仿宋_GB2312" w:hAnsi="Calibri" w:eastAsia="仿宋_GB2312"/>
                <w:bCs/>
                <w:sz w:val="20"/>
                <w:szCs w:val="21"/>
              </w:rPr>
              <w:t>周年”“建团1</w:t>
            </w:r>
            <w:r>
              <w:rPr>
                <w:rFonts w:ascii="仿宋_GB2312" w:hAnsi="Calibri" w:eastAsia="仿宋_GB2312"/>
                <w:bCs/>
                <w:sz w:val="20"/>
                <w:szCs w:val="21"/>
              </w:rPr>
              <w:t>00</w:t>
            </w:r>
            <w:r>
              <w:rPr>
                <w:rFonts w:hint="eastAsia" w:ascii="仿宋_GB2312" w:hAnsi="Calibri" w:eastAsia="仿宋_GB2312"/>
                <w:bCs/>
                <w:sz w:val="20"/>
                <w:szCs w:val="21"/>
              </w:rPr>
              <w:t>周年”“学习二十大”等主题，持续创新开展“青年大学习”“四进四信”“百生讲坛”“三下乡”社会实践等主题教育实践活动。</w:t>
            </w:r>
          </w:p>
          <w:p>
            <w:pPr>
              <w:widowControl/>
              <w:spacing w:line="360" w:lineRule="exact"/>
              <w:jc w:val="left"/>
              <w:rPr>
                <w:rFonts w:ascii="仿宋_GB2312" w:hAnsi="Calibri" w:eastAsia="仿宋_GB2312"/>
                <w:bCs/>
                <w:sz w:val="20"/>
                <w:szCs w:val="21"/>
              </w:rPr>
            </w:pPr>
          </w:p>
          <w:p>
            <w:pPr>
              <w:widowControl/>
              <w:spacing w:line="360" w:lineRule="exact"/>
              <w:jc w:val="left"/>
              <w:rPr>
                <w:rFonts w:ascii="仿宋_GB2312" w:hAnsi="Calibri" w:eastAsia="仿宋_GB2312"/>
                <w:bCs/>
                <w:sz w:val="20"/>
                <w:szCs w:val="21"/>
              </w:rPr>
            </w:pPr>
            <w:r>
              <w:rPr>
                <w:rFonts w:hint="eastAsia" w:ascii="仿宋_GB2312" w:hAnsi="Calibri" w:eastAsia="仿宋_GB2312"/>
                <w:bCs/>
                <w:sz w:val="20"/>
                <w:szCs w:val="21"/>
              </w:rPr>
              <w:t>2.加强“网上共青团”建设，规范管理学院团学组织宣传平台，积极推送基层团学组织典型经验和先进做法，创新升级团学活动互动参与形式，充分发挥学院青年教师、专兼职团干部、团学骨干思想领袖、自媒体网络意见领袖、网络文明志愿者等多方优质资源和先进力量。</w:t>
            </w:r>
          </w:p>
        </w:tc>
        <w:tc>
          <w:tcPr>
            <w:tcW w:w="2552" w:type="dxa"/>
            <w:vAlign w:val="center"/>
          </w:tcPr>
          <w:p>
            <w:pPr>
              <w:spacing w:line="300" w:lineRule="exact"/>
              <w:jc w:val="center"/>
              <w:rPr>
                <w:rFonts w:ascii="仿宋_GB2312" w:hAnsi="Calibri" w:eastAsia="仿宋_GB2312"/>
                <w:bCs/>
                <w:sz w:val="18"/>
                <w:szCs w:val="18"/>
              </w:rPr>
            </w:pPr>
          </w:p>
        </w:tc>
        <w:tc>
          <w:tcPr>
            <w:tcW w:w="1855" w:type="dxa"/>
            <w:vAlign w:val="center"/>
          </w:tcPr>
          <w:p>
            <w:pPr>
              <w:spacing w:line="360" w:lineRule="exact"/>
              <w:jc w:val="center"/>
              <w:rPr>
                <w:rFonts w:ascii="仿宋_GB2312" w:hAnsi="Calibri" w:eastAsia="仿宋_GB2312"/>
                <w:bCs/>
                <w:szCs w:val="21"/>
              </w:rPr>
            </w:pPr>
          </w:p>
        </w:tc>
        <w:tc>
          <w:tcPr>
            <w:tcW w:w="1055" w:type="dxa"/>
            <w:vAlign w:val="center"/>
          </w:tcPr>
          <w:p>
            <w:pPr>
              <w:spacing w:line="360" w:lineRule="exact"/>
              <w:jc w:val="center"/>
              <w:rPr>
                <w:rFonts w:ascii="仿宋_GB2312" w:hAnsi="Calibri"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jc w:val="center"/>
        </w:trPr>
        <w:tc>
          <w:tcPr>
            <w:tcW w:w="1559" w:type="dxa"/>
            <w:vAlign w:val="center"/>
          </w:tcPr>
          <w:p>
            <w:pPr>
              <w:spacing w:line="360" w:lineRule="exact"/>
              <w:jc w:val="center"/>
              <w:rPr>
                <w:rFonts w:ascii="仿宋_GB2312" w:hAnsi="黑体" w:eastAsia="仿宋_GB2312"/>
                <w:b/>
                <w:bCs/>
                <w:sz w:val="22"/>
                <w:szCs w:val="21"/>
              </w:rPr>
            </w:pPr>
            <w:r>
              <w:rPr>
                <w:rFonts w:hint="eastAsia" w:ascii="仿宋_GB2312" w:hAnsi="黑体" w:eastAsia="仿宋_GB2312"/>
                <w:b/>
                <w:bCs/>
                <w:sz w:val="22"/>
                <w:szCs w:val="21"/>
              </w:rPr>
              <w:t>基层组织建设</w:t>
            </w:r>
          </w:p>
          <w:p>
            <w:pPr>
              <w:spacing w:line="360" w:lineRule="exact"/>
              <w:jc w:val="center"/>
              <w:rPr>
                <w:rFonts w:ascii="仿宋_GB2312" w:hAnsi="黑体" w:eastAsia="仿宋_GB2312"/>
                <w:b/>
                <w:bCs/>
                <w:sz w:val="22"/>
                <w:szCs w:val="21"/>
              </w:rPr>
            </w:pPr>
            <w:r>
              <w:rPr>
                <w:rFonts w:hint="eastAsia" w:ascii="仿宋_GB2312" w:hAnsi="黑体" w:eastAsia="仿宋_GB2312"/>
                <w:b/>
                <w:bCs/>
                <w:sz w:val="22"/>
                <w:szCs w:val="21"/>
              </w:rPr>
              <w:t>（20分）</w:t>
            </w:r>
          </w:p>
        </w:tc>
        <w:tc>
          <w:tcPr>
            <w:tcW w:w="5953" w:type="dxa"/>
            <w:vAlign w:val="center"/>
          </w:tcPr>
          <w:p>
            <w:pPr>
              <w:widowControl/>
              <w:spacing w:line="360" w:lineRule="exact"/>
              <w:jc w:val="left"/>
              <w:rPr>
                <w:rFonts w:ascii="仿宋_GB2312" w:hAnsi="Calibri" w:eastAsia="仿宋_GB2312"/>
                <w:bCs/>
                <w:sz w:val="20"/>
                <w:szCs w:val="21"/>
              </w:rPr>
            </w:pPr>
            <w:r>
              <w:rPr>
                <w:rFonts w:hint="eastAsia" w:ascii="仿宋_GB2312" w:hAnsi="Calibri" w:eastAsia="仿宋_GB2312"/>
                <w:bCs/>
                <w:sz w:val="20"/>
                <w:szCs w:val="21"/>
              </w:rPr>
              <w:t>1.加强对院级学生会、研究生会、志愿者组织及挂靠学生社团的指导，各级团学组织机构健全，部门设置及职责分工科学合理，学生干部职数有效精简，各项工作有章可循、有据可依。</w:t>
            </w:r>
          </w:p>
          <w:p>
            <w:pPr>
              <w:widowControl/>
              <w:spacing w:line="360" w:lineRule="exact"/>
              <w:jc w:val="left"/>
              <w:rPr>
                <w:rFonts w:ascii="仿宋_GB2312" w:hAnsi="Calibri" w:eastAsia="仿宋_GB2312"/>
                <w:bCs/>
                <w:sz w:val="20"/>
                <w:szCs w:val="21"/>
              </w:rPr>
            </w:pPr>
          </w:p>
          <w:p>
            <w:pPr>
              <w:widowControl/>
              <w:spacing w:line="360" w:lineRule="exact"/>
              <w:jc w:val="left"/>
              <w:rPr>
                <w:rFonts w:ascii="仿宋_GB2312" w:hAnsi="Calibri" w:eastAsia="仿宋_GB2312"/>
                <w:bCs/>
                <w:sz w:val="20"/>
                <w:szCs w:val="21"/>
              </w:rPr>
            </w:pPr>
            <w:r>
              <w:rPr>
                <w:rFonts w:hint="eastAsia" w:ascii="仿宋_GB2312" w:hAnsi="Calibri" w:eastAsia="仿宋_GB2312"/>
                <w:bCs/>
                <w:sz w:val="20"/>
                <w:szCs w:val="21"/>
              </w:rPr>
              <w:t>2.重视基层基础工作，利用“智慧团建”系统掌握团内大数据，使学社衔接率和升学衔接率稳步提升，全面掌握团学工作和组织台账，有效推动基层团支部活力提升，严格执行“三会两制一课”“班团一体化”“团组织推优入党”等团的各项组织制度，探索创新团建方式，扩大工作的有效覆盖面，有效提升“基层活跃度”和“青年满意度”。</w:t>
            </w:r>
          </w:p>
          <w:p>
            <w:pPr>
              <w:widowControl/>
              <w:spacing w:line="360" w:lineRule="exact"/>
              <w:jc w:val="left"/>
              <w:rPr>
                <w:rFonts w:ascii="仿宋_GB2312" w:hAnsi="Calibri" w:eastAsia="仿宋_GB2312"/>
                <w:bCs/>
                <w:sz w:val="20"/>
                <w:szCs w:val="21"/>
              </w:rPr>
            </w:pPr>
          </w:p>
          <w:p>
            <w:pPr>
              <w:widowControl/>
              <w:spacing w:line="360" w:lineRule="exact"/>
              <w:jc w:val="left"/>
              <w:rPr>
                <w:rFonts w:ascii="仿宋_GB2312" w:hAnsi="Calibri" w:eastAsia="仿宋_GB2312"/>
                <w:bCs/>
                <w:sz w:val="20"/>
                <w:szCs w:val="21"/>
              </w:rPr>
            </w:pPr>
            <w:r>
              <w:rPr>
                <w:rFonts w:hint="eastAsia" w:ascii="仿宋_GB2312" w:hAnsi="Calibri" w:eastAsia="仿宋_GB2312"/>
                <w:bCs/>
                <w:sz w:val="20"/>
                <w:szCs w:val="21"/>
              </w:rPr>
              <w:t>3.注重创新工作方式和运转机制，有效发挥联系、服务、引领青年的桥梁纽带作用。落实“众创众筹众评”机制，常态化开展“团学干部联系青年”活动，及时有效反映团员青年呼声、回应团员青年诉求、维护团员青年权益。</w:t>
            </w:r>
          </w:p>
        </w:tc>
        <w:tc>
          <w:tcPr>
            <w:tcW w:w="2552" w:type="dxa"/>
            <w:vAlign w:val="center"/>
          </w:tcPr>
          <w:p>
            <w:pPr>
              <w:spacing w:line="300" w:lineRule="exact"/>
              <w:jc w:val="center"/>
              <w:rPr>
                <w:rFonts w:ascii="仿宋_GB2312" w:hAnsi="Calibri" w:eastAsia="仿宋_GB2312"/>
                <w:bCs/>
                <w:sz w:val="18"/>
                <w:szCs w:val="18"/>
              </w:rPr>
            </w:pPr>
          </w:p>
        </w:tc>
        <w:tc>
          <w:tcPr>
            <w:tcW w:w="1855" w:type="dxa"/>
            <w:vAlign w:val="center"/>
          </w:tcPr>
          <w:p>
            <w:pPr>
              <w:spacing w:line="360" w:lineRule="exact"/>
              <w:jc w:val="center"/>
              <w:rPr>
                <w:rFonts w:ascii="仿宋_GB2312" w:hAnsi="Calibri" w:eastAsia="仿宋_GB2312"/>
                <w:bCs/>
                <w:szCs w:val="21"/>
              </w:rPr>
            </w:pPr>
          </w:p>
        </w:tc>
        <w:tc>
          <w:tcPr>
            <w:tcW w:w="1055" w:type="dxa"/>
            <w:vAlign w:val="center"/>
          </w:tcPr>
          <w:p>
            <w:pPr>
              <w:spacing w:line="360" w:lineRule="exact"/>
              <w:jc w:val="center"/>
              <w:rPr>
                <w:rFonts w:ascii="仿宋_GB2312" w:hAnsi="Calibri"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jc w:val="center"/>
        </w:trPr>
        <w:tc>
          <w:tcPr>
            <w:tcW w:w="1559" w:type="dxa"/>
            <w:vAlign w:val="center"/>
          </w:tcPr>
          <w:p>
            <w:pPr>
              <w:spacing w:line="360" w:lineRule="exact"/>
              <w:jc w:val="center"/>
              <w:rPr>
                <w:rFonts w:ascii="仿宋_GB2312" w:hAnsi="黑体" w:eastAsia="仿宋_GB2312"/>
                <w:b/>
                <w:bCs/>
                <w:sz w:val="22"/>
                <w:szCs w:val="21"/>
              </w:rPr>
            </w:pPr>
            <w:r>
              <w:rPr>
                <w:rFonts w:hint="eastAsia" w:ascii="仿宋_GB2312" w:hAnsi="黑体" w:eastAsia="仿宋_GB2312"/>
                <w:b/>
                <w:bCs/>
                <w:sz w:val="22"/>
                <w:szCs w:val="21"/>
              </w:rPr>
              <w:t>工作改革创新</w:t>
            </w:r>
          </w:p>
          <w:p>
            <w:pPr>
              <w:spacing w:line="360" w:lineRule="exact"/>
              <w:jc w:val="center"/>
              <w:rPr>
                <w:rFonts w:ascii="仿宋_GB2312" w:hAnsi="黑体" w:eastAsia="仿宋_GB2312"/>
                <w:b/>
                <w:bCs/>
                <w:sz w:val="22"/>
                <w:szCs w:val="21"/>
              </w:rPr>
            </w:pPr>
            <w:r>
              <w:rPr>
                <w:rFonts w:hint="eastAsia" w:ascii="仿宋_GB2312" w:hAnsi="黑体" w:eastAsia="仿宋_GB2312"/>
                <w:b/>
                <w:bCs/>
                <w:sz w:val="22"/>
                <w:szCs w:val="21"/>
              </w:rPr>
              <w:t>（15分）</w:t>
            </w:r>
          </w:p>
        </w:tc>
        <w:tc>
          <w:tcPr>
            <w:tcW w:w="5953" w:type="dxa"/>
            <w:vAlign w:val="center"/>
          </w:tcPr>
          <w:p>
            <w:pPr>
              <w:widowControl/>
              <w:spacing w:line="360" w:lineRule="exact"/>
              <w:jc w:val="left"/>
              <w:rPr>
                <w:rFonts w:ascii="仿宋_GB2312" w:hAnsi="Calibri" w:eastAsia="仿宋_GB2312"/>
                <w:bCs/>
                <w:sz w:val="20"/>
                <w:szCs w:val="21"/>
              </w:rPr>
            </w:pPr>
            <w:r>
              <w:rPr>
                <w:rFonts w:hint="eastAsia" w:ascii="仿宋_GB2312" w:hAnsi="Calibri" w:eastAsia="仿宋_GB2312"/>
                <w:bCs/>
                <w:sz w:val="20"/>
                <w:szCs w:val="21"/>
              </w:rPr>
              <w:t>1.坚持问题导向，牢牢把握“保持和增强政治性、先进性、群众性”的目标要求，有力推动团学改革任务的进展，做到短期问题即知即改、常规问题立行立改，确保各项改革举措落到实处，保障改革效果从“形式”走向“实质”。</w:t>
            </w:r>
          </w:p>
          <w:p>
            <w:pPr>
              <w:widowControl/>
              <w:spacing w:line="360" w:lineRule="exact"/>
              <w:jc w:val="left"/>
              <w:rPr>
                <w:rFonts w:ascii="仿宋_GB2312" w:hAnsi="Calibri" w:eastAsia="仿宋_GB2312"/>
                <w:bCs/>
                <w:sz w:val="20"/>
                <w:szCs w:val="21"/>
              </w:rPr>
            </w:pPr>
          </w:p>
          <w:p>
            <w:pPr>
              <w:widowControl/>
              <w:spacing w:line="360" w:lineRule="exact"/>
              <w:jc w:val="left"/>
              <w:rPr>
                <w:rFonts w:ascii="仿宋_GB2312" w:hAnsi="Calibri" w:eastAsia="仿宋_GB2312"/>
                <w:bCs/>
                <w:sz w:val="20"/>
                <w:szCs w:val="21"/>
              </w:rPr>
            </w:pPr>
            <w:r>
              <w:rPr>
                <w:rFonts w:hint="eastAsia" w:ascii="仿宋_GB2312" w:hAnsi="Calibri" w:eastAsia="仿宋_GB2312"/>
                <w:bCs/>
                <w:sz w:val="20"/>
                <w:szCs w:val="21"/>
              </w:rPr>
              <w:t>2.鼓励团员青年结合社会和成长需求，积极参加校内外社会实践、志愿服务活动、创新创业活动，培养团员青年的社会责任感和校园主人翁意识，加强学院社会实践、志愿服务和创新创业基地建设，形成有学院特色的实践育人项目，探索多元化实践育人体系。</w:t>
            </w:r>
          </w:p>
          <w:p>
            <w:pPr>
              <w:widowControl/>
              <w:spacing w:line="360" w:lineRule="exact"/>
              <w:jc w:val="left"/>
              <w:rPr>
                <w:rFonts w:ascii="仿宋_GB2312" w:hAnsi="Calibri" w:eastAsia="仿宋_GB2312"/>
                <w:bCs/>
                <w:sz w:val="20"/>
                <w:szCs w:val="21"/>
              </w:rPr>
            </w:pPr>
          </w:p>
          <w:p>
            <w:pPr>
              <w:widowControl/>
              <w:spacing w:line="360" w:lineRule="exact"/>
              <w:jc w:val="left"/>
              <w:rPr>
                <w:rFonts w:ascii="仿宋_GB2312" w:hAnsi="Calibri" w:eastAsia="仿宋_GB2312"/>
                <w:bCs/>
                <w:sz w:val="20"/>
                <w:szCs w:val="21"/>
              </w:rPr>
            </w:pPr>
            <w:r>
              <w:rPr>
                <w:rFonts w:hint="eastAsia" w:ascii="仿宋_GB2312" w:hAnsi="Calibri" w:eastAsia="仿宋_GB2312"/>
                <w:bCs/>
                <w:sz w:val="20"/>
                <w:szCs w:val="21"/>
              </w:rPr>
              <w:t>3.积极发挥协同育人工作职能，积极创新开展思想品行、人文素养、创新创业、社会实践、志愿公益、心理健康、文体艺术、劳动育人等方面的第二课堂活动，培养德智体美劳全面发展的社会主义建设者和接班人。</w:t>
            </w:r>
          </w:p>
        </w:tc>
        <w:tc>
          <w:tcPr>
            <w:tcW w:w="2552" w:type="dxa"/>
            <w:vAlign w:val="center"/>
          </w:tcPr>
          <w:p>
            <w:pPr>
              <w:spacing w:line="300" w:lineRule="exact"/>
              <w:jc w:val="center"/>
              <w:rPr>
                <w:rFonts w:ascii="仿宋_GB2312" w:hAnsi="Calibri" w:eastAsia="仿宋_GB2312"/>
                <w:bCs/>
                <w:sz w:val="18"/>
                <w:szCs w:val="18"/>
              </w:rPr>
            </w:pPr>
          </w:p>
        </w:tc>
        <w:tc>
          <w:tcPr>
            <w:tcW w:w="1855" w:type="dxa"/>
            <w:vAlign w:val="center"/>
          </w:tcPr>
          <w:p>
            <w:pPr>
              <w:spacing w:line="360" w:lineRule="exact"/>
              <w:jc w:val="center"/>
              <w:rPr>
                <w:rFonts w:ascii="仿宋_GB2312" w:hAnsi="Calibri" w:eastAsia="仿宋_GB2312"/>
                <w:bCs/>
                <w:szCs w:val="21"/>
              </w:rPr>
            </w:pPr>
          </w:p>
        </w:tc>
        <w:tc>
          <w:tcPr>
            <w:tcW w:w="1055" w:type="dxa"/>
            <w:vAlign w:val="center"/>
          </w:tcPr>
          <w:p>
            <w:pPr>
              <w:spacing w:line="360" w:lineRule="exact"/>
              <w:jc w:val="center"/>
              <w:rPr>
                <w:rFonts w:ascii="仿宋_GB2312" w:hAnsi="Calibri"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jc w:val="center"/>
        </w:trPr>
        <w:tc>
          <w:tcPr>
            <w:tcW w:w="1559" w:type="dxa"/>
            <w:vAlign w:val="center"/>
          </w:tcPr>
          <w:p>
            <w:pPr>
              <w:spacing w:line="360" w:lineRule="exact"/>
              <w:jc w:val="center"/>
              <w:rPr>
                <w:rFonts w:ascii="仿宋_GB2312" w:hAnsi="黑体" w:eastAsia="仿宋_GB2312"/>
                <w:b/>
                <w:bCs/>
                <w:sz w:val="22"/>
                <w:szCs w:val="21"/>
              </w:rPr>
            </w:pPr>
            <w:r>
              <w:rPr>
                <w:rFonts w:hint="eastAsia" w:ascii="仿宋_GB2312" w:hAnsi="黑体" w:eastAsia="仿宋_GB2312"/>
                <w:b/>
                <w:bCs/>
                <w:sz w:val="22"/>
                <w:szCs w:val="21"/>
              </w:rPr>
              <w:t>作风建设</w:t>
            </w:r>
          </w:p>
          <w:p>
            <w:pPr>
              <w:spacing w:line="360" w:lineRule="exact"/>
              <w:jc w:val="center"/>
              <w:rPr>
                <w:rFonts w:ascii="仿宋_GB2312" w:hAnsi="黑体" w:eastAsia="仿宋_GB2312"/>
                <w:b/>
                <w:bCs/>
                <w:sz w:val="22"/>
                <w:szCs w:val="21"/>
              </w:rPr>
            </w:pPr>
            <w:r>
              <w:rPr>
                <w:rFonts w:hint="eastAsia" w:ascii="仿宋_GB2312" w:hAnsi="黑体" w:eastAsia="仿宋_GB2312"/>
                <w:b/>
                <w:bCs/>
                <w:sz w:val="22"/>
                <w:szCs w:val="21"/>
              </w:rPr>
              <w:t>（15分）</w:t>
            </w:r>
          </w:p>
        </w:tc>
        <w:tc>
          <w:tcPr>
            <w:tcW w:w="5953" w:type="dxa"/>
            <w:vAlign w:val="center"/>
          </w:tcPr>
          <w:p>
            <w:pPr>
              <w:widowControl/>
              <w:spacing w:line="360" w:lineRule="exact"/>
              <w:jc w:val="left"/>
              <w:rPr>
                <w:rFonts w:ascii="仿宋_GB2312" w:hAnsi="Calibri" w:eastAsia="仿宋_GB2312"/>
                <w:bCs/>
                <w:sz w:val="20"/>
                <w:szCs w:val="21"/>
              </w:rPr>
            </w:pPr>
            <w:r>
              <w:rPr>
                <w:rFonts w:hint="eastAsia" w:ascii="仿宋_GB2312" w:hAnsi="Calibri" w:eastAsia="仿宋_GB2312"/>
                <w:bCs/>
                <w:sz w:val="20"/>
                <w:szCs w:val="21"/>
              </w:rPr>
              <w:t>1.严格管理团员队伍，把好团员“入口关”、“政治关”，严格入团标准，实现团员发展和教育管理有序化、体系化、制度化，利用“智慧团建”系统，逐步实现基层团务网上管理、工作部署网上推进，不断提升团员管理规范化、制度化、信息化水平。</w:t>
            </w:r>
          </w:p>
          <w:p>
            <w:pPr>
              <w:widowControl/>
              <w:spacing w:line="360" w:lineRule="exact"/>
              <w:jc w:val="left"/>
              <w:rPr>
                <w:rFonts w:ascii="仿宋_GB2312" w:hAnsi="Calibri" w:eastAsia="仿宋_GB2312"/>
                <w:bCs/>
                <w:sz w:val="20"/>
                <w:szCs w:val="21"/>
              </w:rPr>
            </w:pPr>
          </w:p>
          <w:p>
            <w:pPr>
              <w:widowControl/>
              <w:spacing w:line="360" w:lineRule="exact"/>
              <w:jc w:val="left"/>
              <w:rPr>
                <w:rFonts w:ascii="仿宋_GB2312" w:hAnsi="Calibri" w:eastAsia="仿宋_GB2312"/>
                <w:bCs/>
                <w:sz w:val="20"/>
                <w:szCs w:val="21"/>
              </w:rPr>
            </w:pPr>
            <w:r>
              <w:rPr>
                <w:rFonts w:hint="eastAsia" w:ascii="仿宋_GB2312" w:hAnsi="Calibri" w:eastAsia="仿宋_GB2312"/>
                <w:bCs/>
                <w:sz w:val="20"/>
                <w:szCs w:val="21"/>
              </w:rPr>
              <w:t>2.严格管理团学干部队伍，未出现团学干部思想政治表现和工作表现“一票否决”情况，积极教育引导学院各级团学干部坚定理想信念、端正工作态度、提高工作能力、锤炼优良作风、全心全意服务团员青年；积极参与并认真组织上级团学组织部署开展的各项工作、会议和活动，有效发挥团学干部的模范带头作用。</w:t>
            </w:r>
          </w:p>
          <w:p>
            <w:pPr>
              <w:widowControl/>
              <w:spacing w:line="360" w:lineRule="exact"/>
              <w:jc w:val="left"/>
              <w:rPr>
                <w:rFonts w:ascii="仿宋_GB2312" w:hAnsi="Calibri" w:eastAsia="仿宋_GB2312"/>
                <w:bCs/>
                <w:sz w:val="20"/>
                <w:szCs w:val="21"/>
              </w:rPr>
            </w:pPr>
          </w:p>
          <w:p>
            <w:pPr>
              <w:widowControl/>
              <w:spacing w:line="360" w:lineRule="exact"/>
              <w:jc w:val="left"/>
              <w:rPr>
                <w:rFonts w:ascii="仿宋_GB2312" w:hAnsi="Calibri" w:eastAsia="仿宋_GB2312"/>
                <w:bCs/>
                <w:sz w:val="20"/>
                <w:szCs w:val="21"/>
              </w:rPr>
            </w:pPr>
            <w:r>
              <w:rPr>
                <w:rFonts w:hint="eastAsia" w:ascii="仿宋_GB2312" w:hAnsi="Calibri" w:eastAsia="仿宋_GB2312"/>
                <w:bCs/>
                <w:sz w:val="20"/>
                <w:szCs w:val="21"/>
              </w:rPr>
              <w:t>3.严格管理各级团学组织，切实克服“机关化、行政化、贵族化、娱乐化”现象，把组织建设作为固本培元的治本之策，使各级团学组织各负其责、履职尽责，焕发组织的生机和活力，更好发挥党的助手和后备军作用。</w:t>
            </w:r>
          </w:p>
        </w:tc>
        <w:tc>
          <w:tcPr>
            <w:tcW w:w="2552" w:type="dxa"/>
            <w:vAlign w:val="center"/>
          </w:tcPr>
          <w:p>
            <w:pPr>
              <w:spacing w:line="300" w:lineRule="exact"/>
              <w:jc w:val="center"/>
              <w:rPr>
                <w:rFonts w:ascii="仿宋_GB2312" w:hAnsi="Calibri" w:eastAsia="仿宋_GB2312"/>
                <w:bCs/>
                <w:sz w:val="18"/>
                <w:szCs w:val="18"/>
              </w:rPr>
            </w:pPr>
          </w:p>
        </w:tc>
        <w:tc>
          <w:tcPr>
            <w:tcW w:w="1855" w:type="dxa"/>
            <w:vAlign w:val="center"/>
          </w:tcPr>
          <w:p>
            <w:pPr>
              <w:spacing w:line="360" w:lineRule="exact"/>
              <w:jc w:val="center"/>
              <w:rPr>
                <w:rFonts w:ascii="仿宋_GB2312" w:hAnsi="Calibri" w:eastAsia="仿宋_GB2312"/>
                <w:bCs/>
                <w:szCs w:val="21"/>
              </w:rPr>
            </w:pPr>
          </w:p>
        </w:tc>
        <w:tc>
          <w:tcPr>
            <w:tcW w:w="1055" w:type="dxa"/>
            <w:vAlign w:val="center"/>
          </w:tcPr>
          <w:p>
            <w:pPr>
              <w:spacing w:line="360" w:lineRule="exact"/>
              <w:jc w:val="center"/>
              <w:rPr>
                <w:rFonts w:ascii="仿宋_GB2312" w:hAnsi="Calibri"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59" w:type="dxa"/>
            <w:vAlign w:val="center"/>
          </w:tcPr>
          <w:p>
            <w:pPr>
              <w:spacing w:line="360" w:lineRule="exact"/>
              <w:jc w:val="center"/>
              <w:rPr>
                <w:rFonts w:ascii="仿宋_GB2312" w:hAnsi="黑体" w:eastAsia="仿宋_GB2312"/>
                <w:b/>
                <w:bCs/>
                <w:sz w:val="22"/>
                <w:szCs w:val="21"/>
              </w:rPr>
            </w:pPr>
            <w:r>
              <w:rPr>
                <w:rFonts w:hint="eastAsia" w:ascii="仿宋_GB2312" w:hAnsi="黑体" w:eastAsia="仿宋_GB2312"/>
                <w:b/>
                <w:bCs/>
                <w:sz w:val="22"/>
                <w:szCs w:val="21"/>
              </w:rPr>
              <w:t>亮点工作</w:t>
            </w:r>
          </w:p>
          <w:p>
            <w:pPr>
              <w:spacing w:line="360" w:lineRule="exact"/>
              <w:jc w:val="center"/>
              <w:rPr>
                <w:rFonts w:ascii="仿宋_GB2312" w:hAnsi="黑体" w:eastAsia="仿宋_GB2312"/>
                <w:b/>
                <w:bCs/>
                <w:sz w:val="22"/>
                <w:szCs w:val="21"/>
              </w:rPr>
            </w:pPr>
            <w:r>
              <w:rPr>
                <w:rFonts w:hint="eastAsia" w:ascii="仿宋_GB2312" w:hAnsi="黑体" w:eastAsia="仿宋_GB2312"/>
                <w:b/>
                <w:bCs/>
                <w:sz w:val="22"/>
                <w:szCs w:val="21"/>
              </w:rPr>
              <w:t>（10分）</w:t>
            </w:r>
          </w:p>
        </w:tc>
        <w:tc>
          <w:tcPr>
            <w:tcW w:w="5953" w:type="dxa"/>
            <w:vAlign w:val="center"/>
          </w:tcPr>
          <w:p>
            <w:pPr>
              <w:spacing w:line="360" w:lineRule="exact"/>
              <w:jc w:val="left"/>
              <w:rPr>
                <w:rFonts w:ascii="仿宋_GB2312" w:hAnsi="Calibri" w:eastAsia="仿宋_GB2312"/>
                <w:bCs/>
                <w:sz w:val="20"/>
                <w:szCs w:val="21"/>
              </w:rPr>
            </w:pPr>
            <w:r>
              <w:rPr>
                <w:rFonts w:hint="eastAsia" w:ascii="仿宋_GB2312" w:hAnsi="Calibri" w:eastAsia="仿宋_GB2312"/>
                <w:bCs/>
                <w:sz w:val="20"/>
                <w:szCs w:val="21"/>
              </w:rPr>
              <w:t>团学工作品牌创建、“五育”并举服务青年成长发展、围绕中心服务大局贡献度等方面的特色亮点及其成效。</w:t>
            </w:r>
          </w:p>
        </w:tc>
        <w:tc>
          <w:tcPr>
            <w:tcW w:w="2552" w:type="dxa"/>
            <w:vAlign w:val="center"/>
          </w:tcPr>
          <w:p>
            <w:pPr>
              <w:spacing w:line="300" w:lineRule="exact"/>
              <w:jc w:val="center"/>
              <w:rPr>
                <w:rFonts w:ascii="仿宋_GB2312" w:hAnsi="Calibri" w:eastAsia="仿宋_GB2312"/>
                <w:bCs/>
                <w:sz w:val="18"/>
                <w:szCs w:val="18"/>
              </w:rPr>
            </w:pPr>
          </w:p>
        </w:tc>
        <w:tc>
          <w:tcPr>
            <w:tcW w:w="1855" w:type="dxa"/>
            <w:vAlign w:val="center"/>
          </w:tcPr>
          <w:p>
            <w:pPr>
              <w:spacing w:line="360" w:lineRule="exact"/>
              <w:jc w:val="center"/>
              <w:rPr>
                <w:rFonts w:ascii="仿宋_GB2312" w:hAnsi="Calibri" w:eastAsia="仿宋_GB2312"/>
                <w:bCs/>
                <w:szCs w:val="21"/>
              </w:rPr>
            </w:pPr>
          </w:p>
        </w:tc>
        <w:tc>
          <w:tcPr>
            <w:tcW w:w="1055" w:type="dxa"/>
            <w:vAlign w:val="center"/>
          </w:tcPr>
          <w:p>
            <w:pPr>
              <w:spacing w:line="360" w:lineRule="exact"/>
              <w:jc w:val="center"/>
              <w:rPr>
                <w:rFonts w:ascii="仿宋_GB2312" w:hAnsi="Calibri" w:eastAsia="仿宋_GB2312"/>
                <w:bCs/>
                <w:szCs w:val="21"/>
              </w:rPr>
            </w:pPr>
          </w:p>
        </w:tc>
      </w:tr>
    </w:tbl>
    <w:p>
      <w:pPr>
        <w:spacing w:line="360" w:lineRule="exact"/>
        <w:jc w:val="center"/>
        <w:rPr>
          <w:rFonts w:ascii="仿宋_GB2312" w:eastAsia="仿宋_GB2312"/>
          <w:bCs/>
          <w:sz w:val="28"/>
          <w:szCs w:val="28"/>
        </w:rPr>
      </w:pPr>
    </w:p>
    <w:p>
      <w:pPr>
        <w:spacing w:line="360" w:lineRule="exact"/>
        <w:jc w:val="center"/>
        <w:rPr>
          <w:rFonts w:ascii="仿宋_GB2312" w:eastAsia="仿宋_GB2312"/>
          <w:bCs/>
          <w:sz w:val="28"/>
          <w:szCs w:val="28"/>
        </w:rPr>
      </w:pPr>
      <w:r>
        <w:rPr>
          <w:rFonts w:hint="eastAsia" w:ascii="仿宋_GB2312" w:eastAsia="仿宋_GB2312"/>
          <w:bCs/>
          <w:sz w:val="28"/>
          <w:szCs w:val="28"/>
        </w:rPr>
        <w:t>共青团中南财经政法大学委员会二</w:t>
      </w:r>
      <w:r>
        <w:rPr>
          <w:rFonts w:hint="eastAsia" w:ascii="微软雅黑" w:hAnsi="微软雅黑" w:eastAsia="微软雅黑" w:cs="微软雅黑"/>
          <w:bCs/>
          <w:sz w:val="28"/>
          <w:szCs w:val="28"/>
        </w:rPr>
        <w:t>〇</w:t>
      </w:r>
      <w:r>
        <w:rPr>
          <w:rFonts w:hint="eastAsia" w:ascii="仿宋_GB2312" w:hAnsi="仿宋_GB2312" w:eastAsia="仿宋_GB2312" w:cs="仿宋_GB2312"/>
          <w:bCs/>
          <w:sz w:val="28"/>
          <w:szCs w:val="28"/>
        </w:rPr>
        <w:t>二三</w:t>
      </w:r>
      <w:r>
        <w:rPr>
          <w:rFonts w:hint="eastAsia" w:ascii="仿宋_GB2312" w:eastAsia="仿宋_GB2312"/>
          <w:bCs/>
          <w:sz w:val="28"/>
          <w:szCs w:val="28"/>
        </w:rPr>
        <w:t>年制</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auto"/>
    <w:pitch w:val="default"/>
    <w:sig w:usb0="00000000" w:usb1="00000000" w:usb2="00000012"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楷体简体">
    <w:altName w:val="微软雅黑"/>
    <w:panose1 w:val="00000000000000000000"/>
    <w:charset w:val="86"/>
    <w:family w:val="script"/>
    <w:pitch w:val="default"/>
    <w:sig w:usb0="00000000" w:usb1="00000000" w:usb2="00000010" w:usb3="00000000" w:csb0="00040000" w:csb1="00000000"/>
  </w:font>
  <w:font w:name="方正黑体简体">
    <w:altName w:val="微软雅黑"/>
    <w:panose1 w:val="00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3C53D2"/>
    <w:rsid w:val="00043C69"/>
    <w:rsid w:val="000801A5"/>
    <w:rsid w:val="000E125A"/>
    <w:rsid w:val="000F73A2"/>
    <w:rsid w:val="001329CB"/>
    <w:rsid w:val="001D4B50"/>
    <w:rsid w:val="001E1BA8"/>
    <w:rsid w:val="00224E1B"/>
    <w:rsid w:val="00287589"/>
    <w:rsid w:val="002F2F52"/>
    <w:rsid w:val="00326543"/>
    <w:rsid w:val="003C025F"/>
    <w:rsid w:val="003C53D2"/>
    <w:rsid w:val="003D68A8"/>
    <w:rsid w:val="00421C24"/>
    <w:rsid w:val="0048747A"/>
    <w:rsid w:val="005C64E2"/>
    <w:rsid w:val="0065007D"/>
    <w:rsid w:val="00660B59"/>
    <w:rsid w:val="00821C25"/>
    <w:rsid w:val="0083141A"/>
    <w:rsid w:val="00895A54"/>
    <w:rsid w:val="00920E3B"/>
    <w:rsid w:val="00A34C23"/>
    <w:rsid w:val="00AD4F54"/>
    <w:rsid w:val="00B12D28"/>
    <w:rsid w:val="00B25FCE"/>
    <w:rsid w:val="00B50CB8"/>
    <w:rsid w:val="00B951A9"/>
    <w:rsid w:val="00BA434A"/>
    <w:rsid w:val="00BE1C04"/>
    <w:rsid w:val="00C21487"/>
    <w:rsid w:val="00CA6D94"/>
    <w:rsid w:val="00CB1D67"/>
    <w:rsid w:val="00D375DF"/>
    <w:rsid w:val="00D770E2"/>
    <w:rsid w:val="00D837E2"/>
    <w:rsid w:val="00E65A9A"/>
    <w:rsid w:val="00E83DBC"/>
    <w:rsid w:val="00EC75D1"/>
    <w:rsid w:val="00F32627"/>
    <w:rsid w:val="086E6CE5"/>
    <w:rsid w:val="2E144C2B"/>
    <w:rsid w:val="3F082F7A"/>
    <w:rsid w:val="48541BF1"/>
    <w:rsid w:val="4FD56E42"/>
    <w:rsid w:val="6AF46090"/>
    <w:rsid w:val="6D0B6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line="600" w:lineRule="exact"/>
      <w:outlineLvl w:val="0"/>
    </w:pPr>
    <w:rPr>
      <w:rFonts w:eastAsia="方正小标宋简体"/>
      <w:b/>
      <w:bCs/>
      <w:kern w:val="44"/>
      <w:sz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0"/>
    <w:rPr>
      <w:sz w:val="24"/>
    </w:rPr>
  </w:style>
  <w:style w:type="paragraph" w:styleId="6">
    <w:name w:val="Title"/>
    <w:basedOn w:val="1"/>
    <w:next w:val="1"/>
    <w:link w:val="9"/>
    <w:autoRedefine/>
    <w:qFormat/>
    <w:uiPriority w:val="0"/>
    <w:pPr>
      <w:spacing w:before="240" w:after="60"/>
      <w:jc w:val="center"/>
      <w:outlineLvl w:val="0"/>
    </w:pPr>
    <w:rPr>
      <w:rFonts w:ascii="等线 Light" w:hAnsi="等线 Light"/>
      <w:b/>
      <w:bCs/>
      <w:sz w:val="32"/>
      <w:szCs w:val="32"/>
    </w:rPr>
  </w:style>
  <w:style w:type="character" w:customStyle="1" w:styleId="9">
    <w:name w:val="标题 字符"/>
    <w:basedOn w:val="8"/>
    <w:link w:val="6"/>
    <w:uiPriority w:val="0"/>
    <w:rPr>
      <w:rFonts w:ascii="等线 Light" w:hAnsi="等线 Light" w:eastAsia="宋体" w:cs="Times New Roman"/>
      <w:b/>
      <w:bCs/>
      <w:sz w:val="32"/>
      <w:szCs w:val="32"/>
    </w:rPr>
  </w:style>
  <w:style w:type="character" w:customStyle="1" w:styleId="10">
    <w:name w:val="页眉 字符"/>
    <w:basedOn w:val="8"/>
    <w:link w:val="4"/>
    <w:autoRedefine/>
    <w:qFormat/>
    <w:uiPriority w:val="99"/>
    <w:rPr>
      <w:rFonts w:ascii="Times New Roman" w:hAnsi="Times New Roman" w:eastAsia="宋体" w:cs="Times New Roman"/>
      <w:sz w:val="18"/>
      <w:szCs w:val="18"/>
    </w:rPr>
  </w:style>
  <w:style w:type="character" w:customStyle="1" w:styleId="11">
    <w:name w:val="页脚 字符"/>
    <w:basedOn w:val="8"/>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26</Pages>
  <Words>1868</Words>
  <Characters>10649</Characters>
  <Lines>88</Lines>
  <Paragraphs>24</Paragraphs>
  <TotalTime>7</TotalTime>
  <ScaleCrop>false</ScaleCrop>
  <LinksUpToDate>false</LinksUpToDate>
  <CharactersWithSpaces>12493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2023-03-16T09:55:00Z</dcterms:created>
  <dc:creator>bailiyu</dc:creator>
  <cp:lastModifiedBy>do</cp:lastModifiedBy>
  <dcterms:modified xsi:type="dcterms:W3CDTF">2024-03-19T14:39:19Z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0CA465F14BCF4F6F8C107B1F28E8F2E0_13</vt:lpwstr>
  </property>
</Properties>
</file>