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777" w:rsidRPr="00907777" w:rsidRDefault="00907777" w:rsidP="00907777">
      <w:pPr>
        <w:widowControl/>
        <w:shd w:val="clear" w:color="auto" w:fill="F5F6F7"/>
        <w:spacing w:before="90" w:after="90" w:line="360" w:lineRule="atLeast"/>
        <w:jc w:val="left"/>
        <w:rPr>
          <w:rFonts w:ascii="宋体" w:eastAsia="宋体" w:hAnsi="宋体" w:cs="宋体"/>
          <w:b/>
          <w:color w:val="222222"/>
          <w:kern w:val="0"/>
          <w:sz w:val="36"/>
          <w:szCs w:val="36"/>
        </w:rPr>
      </w:pPr>
      <w:r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 xml:space="preserve">                  </w:t>
      </w:r>
      <w:r w:rsidRPr="00907777">
        <w:rPr>
          <w:rFonts w:ascii="宋体" w:eastAsia="宋体" w:hAnsi="宋体" w:cs="宋体" w:hint="eastAsia"/>
          <w:b/>
          <w:color w:val="222222"/>
          <w:kern w:val="0"/>
          <w:sz w:val="36"/>
          <w:szCs w:val="36"/>
        </w:rPr>
        <w:t>深圳市联建光电股份有限公司简介</w:t>
      </w:r>
    </w:p>
    <w:p w:rsidR="00907777" w:rsidRPr="00907777" w:rsidRDefault="00907777" w:rsidP="00907777">
      <w:pPr>
        <w:widowControl/>
        <w:shd w:val="clear" w:color="auto" w:fill="F5F6F7"/>
        <w:spacing w:before="90" w:after="90" w:line="360" w:lineRule="atLeast"/>
        <w:jc w:val="left"/>
        <w:rPr>
          <w:rFonts w:ascii="宋体" w:eastAsia="宋体" w:hAnsi="宋体" w:cs="宋体"/>
          <w:color w:val="222222"/>
          <w:kern w:val="0"/>
          <w:sz w:val="18"/>
          <w:szCs w:val="18"/>
        </w:rPr>
      </w:pPr>
      <w:r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 xml:space="preserve">   </w:t>
      </w:r>
      <w:r w:rsidRPr="00907777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公司成立于2003年，2011年成功在深圳交易所创业板上市，股票代码300269。十余年间，公司已发展成一个员工超2000人、注册资本61,378万元、合并年收入超15亿元、净资产26亿元的国家级高新技术企业，现拥有已授权的国家专利150项。</w:t>
      </w:r>
      <w:r w:rsidRPr="00907777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br/>
        <w:t xml:space="preserve">　　近年来，公司在原有主营业务的基础上，基于先进的LED显示屏制造技术以及与下游媒体主的业务合作关系，积极向广告传媒行业进行纵向拓展，为成为“数字传播集团”积极布局。2012年6月，公司设立联动文化（北京）有限公司，致力于打造全国城市地标户外LED广告联播网，完成从“设备”向“媒体”跨界的第一步。2013年12月，公司公告收购中国最大的户外广告媒体代理商——四川分时广告传媒有限公司100%股权，成功构筑户外媒体资源平台，完成了从“媒体”向“服务”跨界的第二步。2014年9月，公司公告收购新三板挂牌公司深圳市易事达电子股份有限公司，继续夯实领先的LED传播设备技术研发能力，力争成为国内最大的LED传播设备制造商；同时收购上海友拓公关顾问有限公司100%股权，进入广告链上游公关传播以及数字服务行业，打开数字传播通道，形成线上线下整合传播格局，实现 “媒体”向“公关”跨界的第三步。 2015年4月，公司公告收购移动营销综合服务的领先提供商——深圳市精准分众传媒有限公司28.4%股权，2016年1月，继续收购其余71.6%股权，为公司“数字传播集团”产业链增加移动互动营销、移动广告投放服务及强大的客户资源。2015年11月，公司公告收购上海励唐营销管理有限公司、山西华瀚文化传播有限公司、北京远洋林格文化传媒有限公司100%股份、收购深圳市力玛网络科技有限公司88.88%股份，完善了“数字传播集团”的构架，丰富公司在营销领域的服务内容，增强公司在营销领域内的服务能力和市场竞争力。2016年6月，公司公告收购上海成光广告和西安绿一传媒100%股权，同时公告投资杭州树熊网络，进一步提升联建集团线上线下数字传播集团的核心竞争力。</w:t>
      </w:r>
      <w:r w:rsidRPr="00907777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br/>
        <w:t xml:space="preserve">　　公司成为由数字营销(友拓公关、励唐营销、深圳力玛、精准分众、树熊网络)、数字户外（分时传媒、联动文化、远洋传媒、华瀚文化、成光广告、绿一传媒）、数字设备（联建有限、易事达）三轮驱动的数字传播集团，可为客户提供涵盖品牌公关、互动活动、互联网广告、户外广告、数字广告设备等线上线下综合营销解决方案和效果营销方案。</w:t>
      </w:r>
    </w:p>
    <w:p w:rsidR="00907777" w:rsidRPr="00907777" w:rsidRDefault="00907777" w:rsidP="00907777">
      <w:pPr>
        <w:widowControl/>
        <w:shd w:val="clear" w:color="auto" w:fill="F5F6F7"/>
        <w:jc w:val="center"/>
        <w:rPr>
          <w:rFonts w:ascii="宋体" w:eastAsia="宋体" w:hAnsi="宋体" w:cs="宋体"/>
          <w:color w:val="222222"/>
          <w:kern w:val="0"/>
          <w:sz w:val="18"/>
          <w:szCs w:val="18"/>
        </w:rPr>
      </w:pPr>
      <w:r w:rsidRPr="00181ED2">
        <w:rPr>
          <w:rFonts w:ascii="宋体" w:eastAsia="宋体" w:hAnsi="宋体" w:cs="宋体"/>
          <w:noProof/>
          <w:color w:val="222222"/>
          <w:kern w:val="0"/>
          <w:sz w:val="18"/>
          <w:szCs w:val="18"/>
        </w:rPr>
        <w:drawing>
          <wp:inline distT="0" distB="0" distL="0" distR="0">
            <wp:extent cx="4295775" cy="2752926"/>
            <wp:effectExtent l="19050" t="0" r="9525" b="0"/>
            <wp:docPr id="1" name="图片 1" descr="联建光电深圳总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联建光电深圳总部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9251" cy="27551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7777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br/>
        <w:t>联建光电深圳总部</w:t>
      </w:r>
    </w:p>
    <w:p w:rsidR="00907777" w:rsidRPr="00907777" w:rsidRDefault="00907777" w:rsidP="00907777">
      <w:pPr>
        <w:widowControl/>
        <w:shd w:val="clear" w:color="auto" w:fill="F5F6F7"/>
        <w:spacing w:before="90" w:after="90" w:line="360" w:lineRule="atLeast"/>
        <w:jc w:val="left"/>
        <w:rPr>
          <w:rFonts w:ascii="宋体" w:eastAsia="宋体" w:hAnsi="宋体" w:cs="宋体"/>
          <w:color w:val="222222"/>
          <w:kern w:val="0"/>
          <w:sz w:val="18"/>
          <w:szCs w:val="18"/>
        </w:rPr>
      </w:pPr>
      <w:r w:rsidRPr="00907777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lastRenderedPageBreak/>
        <w:t xml:space="preserve">　　目前，联建光电集团总部兼LED数字设备运营部位于深圳,位于惠州大亚湾的联建光电（惠州）科技园则是公司的制造基地，建筑面积达80000㎡，拥有行业内规模最大、自动化程度最高、检测设备最先进的LED显示屏生产线之一，向全球上百个国家（地区）提供专业的LED数字显示服务，公司在2013年收购深圳易事达后，LED数字设备的国内外市场竞争力显著增强！</w:t>
      </w:r>
      <w:r w:rsidRPr="00907777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br/>
        <w:t xml:space="preserve">　　未来，公司将发挥技术、资金和规模优势，以持续并购、融合发展的方式快速推进成为“数字传播集团”的战略布局，以数字营销、数字户外、数字设备作为核心模块，打破公司边界，形成软件硬件一体、数字化线上线下整合传播平台，为客户提供最优线上线下全新数字整合营销方案</w:t>
      </w:r>
    </w:p>
    <w:p w:rsidR="00181ED2" w:rsidRDefault="00181ED2"/>
    <w:p w:rsidR="00181ED2" w:rsidRPr="00907777" w:rsidRDefault="00181ED2"/>
    <w:sectPr w:rsidR="00181ED2" w:rsidRPr="00907777" w:rsidSect="00C37E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4EBD" w:rsidRDefault="000B4EBD" w:rsidP="00907777">
      <w:r>
        <w:separator/>
      </w:r>
    </w:p>
  </w:endnote>
  <w:endnote w:type="continuationSeparator" w:id="1">
    <w:p w:rsidR="000B4EBD" w:rsidRDefault="000B4EBD" w:rsidP="00907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4EBD" w:rsidRDefault="000B4EBD" w:rsidP="00907777">
      <w:r>
        <w:separator/>
      </w:r>
    </w:p>
  </w:footnote>
  <w:footnote w:type="continuationSeparator" w:id="1">
    <w:p w:rsidR="000B4EBD" w:rsidRDefault="000B4EBD" w:rsidP="0090777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7777"/>
    <w:rsid w:val="000B4EBD"/>
    <w:rsid w:val="00181ED2"/>
    <w:rsid w:val="004133A0"/>
    <w:rsid w:val="00907777"/>
    <w:rsid w:val="00C37E20"/>
    <w:rsid w:val="00C62241"/>
    <w:rsid w:val="00CA6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E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077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0777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077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07777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90777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90777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0777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0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668796">
          <w:marLeft w:val="30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201</Words>
  <Characters>1149</Characters>
  <Application>Microsoft Office Word</Application>
  <DocSecurity>0</DocSecurity>
  <Lines>9</Lines>
  <Paragraphs>2</Paragraphs>
  <ScaleCrop>false</ScaleCrop>
  <Company>china</Company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jrr</cp:lastModifiedBy>
  <cp:revision>7</cp:revision>
  <dcterms:created xsi:type="dcterms:W3CDTF">2016-08-22T06:17:00Z</dcterms:created>
  <dcterms:modified xsi:type="dcterms:W3CDTF">2016-09-18T09:58:00Z</dcterms:modified>
</cp:coreProperties>
</file>