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D55D5" w14:textId="769EF6C2" w:rsidR="00F76E45" w:rsidRDefault="00F76E45" w:rsidP="00F76E45">
      <w:pPr>
        <w:spacing w:line="560" w:lineRule="exact"/>
        <w:jc w:val="left"/>
        <w:rPr>
          <w:rFonts w:ascii="仿宋_GB2312" w:hAnsi="仿宋_GB2312" w:cs="仿宋_GB2312"/>
          <w:szCs w:val="32"/>
        </w:rPr>
      </w:pPr>
      <w:r>
        <w:rPr>
          <w:rFonts w:ascii="黑体" w:eastAsia="黑体" w:hAnsi="黑体" w:cs="黑体" w:hint="eastAsia"/>
          <w:szCs w:val="32"/>
        </w:rPr>
        <w:t>附件</w:t>
      </w:r>
      <w:r w:rsidR="00F37B0E">
        <w:rPr>
          <w:rFonts w:ascii="黑体" w:eastAsia="黑体" w:hAnsi="黑体" w:cs="黑体"/>
          <w:szCs w:val="32"/>
        </w:rPr>
        <w:t>4</w:t>
      </w:r>
      <w:bookmarkStart w:id="0" w:name="_GoBack"/>
      <w:bookmarkEnd w:id="0"/>
    </w:p>
    <w:p w14:paraId="6AC52EF3" w14:textId="4AA19BEE" w:rsidR="00F76E45" w:rsidRDefault="00F76E45" w:rsidP="001C3AD1">
      <w:pPr>
        <w:spacing w:beforeLines="25" w:before="78" w:afterLines="25" w:after="78" w:line="560" w:lineRule="exact"/>
        <w:jc w:val="center"/>
        <w:rPr>
          <w:rFonts w:ascii="方正小标宋简体" w:eastAsia="方正小标宋简体" w:hAnsi="FZXiaoBiaoSong-B05S" w:cs="方正小标宋简体"/>
          <w:sz w:val="36"/>
          <w:szCs w:val="36"/>
        </w:rPr>
      </w:pPr>
      <w:r w:rsidRPr="00857F9B">
        <w:rPr>
          <w:rFonts w:ascii="方正小标宋简体" w:eastAsia="方正小标宋简体" w:hAnsi="FZXiaoBiaoSong-B05S" w:cs="方正小标宋简体" w:hint="eastAsia"/>
          <w:sz w:val="36"/>
          <w:szCs w:val="36"/>
        </w:rPr>
        <w:t>“百生讲坛”省级优秀主讲人预赛评分细则</w:t>
      </w:r>
    </w:p>
    <w:p w14:paraId="34E7E7FB" w14:textId="77777777" w:rsidR="001C3AD1" w:rsidRPr="001C3AD1" w:rsidRDefault="001C3AD1" w:rsidP="001C3AD1">
      <w:pPr>
        <w:spacing w:afterLines="25" w:after="78" w:line="560" w:lineRule="exact"/>
        <w:jc w:val="center"/>
        <w:rPr>
          <w:rFonts w:ascii="方正小标宋简体" w:eastAsia="方正小标宋简体" w:hAnsi="FZXiaoBiaoSong-B05S" w:cs="方正小标宋简体"/>
          <w:sz w:val="24"/>
          <w:szCs w:val="24"/>
        </w:rPr>
      </w:pPr>
    </w:p>
    <w:tbl>
      <w:tblPr>
        <w:tblStyle w:val="a3"/>
        <w:tblW w:w="5174" w:type="pct"/>
        <w:jc w:val="center"/>
        <w:tblLook w:val="0000" w:firstRow="0" w:lastRow="0" w:firstColumn="0" w:lastColumn="0" w:noHBand="0" w:noVBand="0"/>
      </w:tblPr>
      <w:tblGrid>
        <w:gridCol w:w="1149"/>
        <w:gridCol w:w="5798"/>
        <w:gridCol w:w="1638"/>
      </w:tblGrid>
      <w:tr w:rsidR="00F76E45" w14:paraId="62DA1BC7" w14:textId="77777777" w:rsidTr="001C3AD1">
        <w:trPr>
          <w:trHeight w:val="531"/>
          <w:jc w:val="center"/>
        </w:trPr>
        <w:tc>
          <w:tcPr>
            <w:tcW w:w="4046" w:type="pct"/>
            <w:gridSpan w:val="2"/>
          </w:tcPr>
          <w:p w14:paraId="29A71325" w14:textId="77777777" w:rsidR="00F76E45" w:rsidRPr="001C3AD1" w:rsidRDefault="00F76E45" w:rsidP="00AD7114">
            <w:pPr>
              <w:jc w:val="center"/>
              <w:rPr>
                <w:rFonts w:ascii="黑体" w:eastAsia="黑体" w:hAnsi="黑体" w:cs="黑体"/>
                <w:b/>
                <w:bCs/>
                <w:color w:val="000000"/>
                <w:szCs w:val="32"/>
              </w:rPr>
            </w:pPr>
            <w:r w:rsidRPr="001C3AD1">
              <w:rPr>
                <w:rFonts w:ascii="黑体" w:eastAsia="黑体" w:hAnsi="黑体" w:cs="黑体" w:hint="eastAsia"/>
                <w:b/>
                <w:bCs/>
                <w:color w:val="000000"/>
                <w:szCs w:val="32"/>
              </w:rPr>
              <w:t>项  目</w:t>
            </w:r>
          </w:p>
        </w:tc>
        <w:tc>
          <w:tcPr>
            <w:tcW w:w="954" w:type="pct"/>
            <w:vAlign w:val="center"/>
          </w:tcPr>
          <w:p w14:paraId="09963774" w14:textId="5B0C600D" w:rsidR="00F76E45" w:rsidRPr="001C3AD1" w:rsidRDefault="00F76E45" w:rsidP="00AD7114">
            <w:pPr>
              <w:jc w:val="center"/>
              <w:rPr>
                <w:rFonts w:ascii="黑体" w:eastAsia="黑体" w:hAnsi="黑体" w:cs="黑体"/>
                <w:b/>
                <w:bCs/>
                <w:color w:val="000000"/>
                <w:szCs w:val="32"/>
              </w:rPr>
            </w:pPr>
            <w:r w:rsidRPr="001C3AD1">
              <w:rPr>
                <w:rFonts w:ascii="黑体" w:eastAsia="黑体" w:hAnsi="黑体" w:cs="黑体" w:hint="eastAsia"/>
                <w:b/>
                <w:bCs/>
                <w:color w:val="000000"/>
                <w:szCs w:val="32"/>
              </w:rPr>
              <w:t>分</w:t>
            </w:r>
            <w:r w:rsidR="001C3AD1">
              <w:rPr>
                <w:rFonts w:ascii="黑体" w:eastAsia="黑体" w:hAnsi="黑体" w:cs="黑体" w:hint="eastAsia"/>
                <w:b/>
                <w:bCs/>
                <w:color w:val="000000"/>
                <w:szCs w:val="32"/>
              </w:rPr>
              <w:t xml:space="preserve"> </w:t>
            </w:r>
            <w:r w:rsidR="001C3AD1">
              <w:rPr>
                <w:rFonts w:ascii="黑体" w:eastAsia="黑体" w:hAnsi="黑体" w:cs="黑体"/>
                <w:b/>
                <w:bCs/>
                <w:color w:val="000000"/>
                <w:szCs w:val="32"/>
              </w:rPr>
              <w:t xml:space="preserve"> </w:t>
            </w:r>
            <w:r w:rsidRPr="001C3AD1">
              <w:rPr>
                <w:rFonts w:ascii="黑体" w:eastAsia="黑体" w:hAnsi="黑体" w:cs="黑体" w:hint="eastAsia"/>
                <w:b/>
                <w:bCs/>
                <w:color w:val="000000"/>
                <w:szCs w:val="32"/>
              </w:rPr>
              <w:t>值</w:t>
            </w:r>
          </w:p>
        </w:tc>
      </w:tr>
      <w:tr w:rsidR="00F76E45" w14:paraId="270FACE6" w14:textId="77777777" w:rsidTr="001C3AD1">
        <w:trPr>
          <w:trHeight w:val="2798"/>
          <w:jc w:val="center"/>
        </w:trPr>
        <w:tc>
          <w:tcPr>
            <w:tcW w:w="4046" w:type="pct"/>
            <w:gridSpan w:val="2"/>
            <w:vAlign w:val="center"/>
          </w:tcPr>
          <w:p w14:paraId="64689BCC" w14:textId="77777777" w:rsidR="00F76E45" w:rsidRDefault="00F76E45" w:rsidP="001C3AD1">
            <w:pPr>
              <w:rPr>
                <w:rFonts w:ascii="仿宋_GB2312" w:hAnsi="仿宋_GB2312" w:cs="仿宋_GB2312"/>
                <w:color w:val="000000"/>
                <w:szCs w:val="32"/>
              </w:rPr>
            </w:pPr>
            <w:r>
              <w:rPr>
                <w:rFonts w:ascii="仿宋_GB2312" w:hAnsi="仿宋_GB2312" w:cs="仿宋_GB2312" w:hint="eastAsia"/>
                <w:b/>
                <w:bCs/>
                <w:color w:val="000000"/>
                <w:szCs w:val="32"/>
              </w:rPr>
              <w:t>主题与内容：</w:t>
            </w:r>
            <w:r>
              <w:rPr>
                <w:rFonts w:ascii="仿宋_GB2312" w:hAnsi="仿宋_GB2312" w:cs="仿宋_GB2312" w:hint="eastAsia"/>
                <w:color w:val="000000"/>
                <w:szCs w:val="32"/>
              </w:rPr>
              <w:br/>
              <w:t>1.紧扣主题（以“理论学‘习’我来讲”为主题,能够反映对习近平新时代中国特色社会主义思想中相关内容的学习、理解或认识）；2.讲稿结构严谨，引人入胜；3.具有较强的思想性。</w:t>
            </w:r>
          </w:p>
        </w:tc>
        <w:tc>
          <w:tcPr>
            <w:tcW w:w="954" w:type="pct"/>
            <w:vAlign w:val="center"/>
          </w:tcPr>
          <w:p w14:paraId="1C2DE0A4" w14:textId="77777777" w:rsidR="00F76E45" w:rsidRDefault="00F76E45" w:rsidP="001C3AD1">
            <w:pPr>
              <w:jc w:val="center"/>
              <w:rPr>
                <w:rFonts w:ascii="仿宋_GB2312" w:hAnsi="仿宋_GB2312" w:cs="仿宋_GB2312"/>
                <w:color w:val="000000"/>
                <w:szCs w:val="32"/>
              </w:rPr>
            </w:pPr>
            <w:r>
              <w:rPr>
                <w:rFonts w:ascii="仿宋_GB2312" w:hAnsi="仿宋_GB2312" w:cs="仿宋_GB2312" w:hint="eastAsia"/>
                <w:color w:val="000000"/>
                <w:szCs w:val="32"/>
              </w:rPr>
              <w:t>50分</w:t>
            </w:r>
          </w:p>
        </w:tc>
      </w:tr>
      <w:tr w:rsidR="00F76E45" w14:paraId="2DC8DEB1" w14:textId="77777777" w:rsidTr="001C3AD1">
        <w:trPr>
          <w:trHeight w:val="1337"/>
          <w:jc w:val="center"/>
        </w:trPr>
        <w:tc>
          <w:tcPr>
            <w:tcW w:w="4046" w:type="pct"/>
            <w:gridSpan w:val="2"/>
            <w:vAlign w:val="center"/>
          </w:tcPr>
          <w:p w14:paraId="1F68CBAC" w14:textId="77777777" w:rsidR="00F76E45" w:rsidRDefault="00F76E45" w:rsidP="001C3AD1">
            <w:pPr>
              <w:rPr>
                <w:rFonts w:ascii="仿宋_GB2312" w:hAnsi="仿宋_GB2312" w:cs="仿宋_GB2312"/>
                <w:color w:val="000000"/>
                <w:szCs w:val="32"/>
              </w:rPr>
            </w:pPr>
            <w:r>
              <w:rPr>
                <w:rFonts w:ascii="仿宋_GB2312" w:hAnsi="仿宋_GB2312" w:cs="仿宋_GB2312" w:hint="eastAsia"/>
                <w:b/>
                <w:bCs/>
                <w:color w:val="000000"/>
                <w:szCs w:val="32"/>
              </w:rPr>
              <w:t>展现与技巧：</w:t>
            </w:r>
            <w:r>
              <w:rPr>
                <w:rFonts w:ascii="仿宋_GB2312" w:hAnsi="仿宋_GB2312" w:cs="仿宋_GB2312" w:hint="eastAsia"/>
                <w:color w:val="000000"/>
                <w:szCs w:val="32"/>
              </w:rPr>
              <w:t>表达准确、清晰；演讲技巧娴熟；辅助展示贴合主题，形式新颖。</w:t>
            </w:r>
          </w:p>
        </w:tc>
        <w:tc>
          <w:tcPr>
            <w:tcW w:w="954" w:type="pct"/>
            <w:vAlign w:val="center"/>
          </w:tcPr>
          <w:p w14:paraId="125A5057" w14:textId="77777777" w:rsidR="00F76E45" w:rsidRDefault="00F76E45" w:rsidP="001C3AD1">
            <w:pPr>
              <w:jc w:val="center"/>
              <w:rPr>
                <w:rFonts w:ascii="仿宋_GB2312" w:hAnsi="仿宋_GB2312" w:cs="仿宋_GB2312"/>
                <w:color w:val="000000"/>
                <w:szCs w:val="32"/>
              </w:rPr>
            </w:pPr>
            <w:r>
              <w:rPr>
                <w:rFonts w:ascii="仿宋_GB2312" w:hAnsi="仿宋_GB2312" w:cs="仿宋_GB2312" w:hint="eastAsia"/>
                <w:color w:val="000000"/>
                <w:szCs w:val="32"/>
              </w:rPr>
              <w:t>40分</w:t>
            </w:r>
          </w:p>
        </w:tc>
      </w:tr>
      <w:tr w:rsidR="00F76E45" w14:paraId="26AE44AA" w14:textId="77777777" w:rsidTr="001C3AD1">
        <w:trPr>
          <w:trHeight w:val="719"/>
          <w:jc w:val="center"/>
        </w:trPr>
        <w:tc>
          <w:tcPr>
            <w:tcW w:w="4046" w:type="pct"/>
            <w:gridSpan w:val="2"/>
            <w:vAlign w:val="center"/>
          </w:tcPr>
          <w:p w14:paraId="0E13F1EA" w14:textId="77777777" w:rsidR="00F76E45" w:rsidRDefault="00F76E45" w:rsidP="001C3AD1">
            <w:pPr>
              <w:rPr>
                <w:rFonts w:ascii="仿宋_GB2312" w:hAnsi="仿宋_GB2312" w:cs="仿宋_GB2312"/>
                <w:color w:val="000000"/>
                <w:szCs w:val="32"/>
              </w:rPr>
            </w:pPr>
            <w:r>
              <w:rPr>
                <w:rFonts w:ascii="仿宋_GB2312" w:hAnsi="仿宋_GB2312" w:cs="仿宋_GB2312" w:hint="eastAsia"/>
                <w:b/>
                <w:bCs/>
                <w:color w:val="000000"/>
                <w:szCs w:val="32"/>
              </w:rPr>
              <w:t>综合印象：</w:t>
            </w:r>
            <w:r>
              <w:rPr>
                <w:rFonts w:ascii="仿宋_GB2312" w:hAnsi="仿宋_GB2312" w:cs="仿宋_GB2312" w:hint="eastAsia"/>
                <w:color w:val="000000"/>
                <w:szCs w:val="32"/>
              </w:rPr>
              <w:t>举止大方、精神饱满、台风稳健。</w:t>
            </w:r>
          </w:p>
        </w:tc>
        <w:tc>
          <w:tcPr>
            <w:tcW w:w="954" w:type="pct"/>
            <w:vAlign w:val="center"/>
          </w:tcPr>
          <w:p w14:paraId="2E3447AB" w14:textId="77777777" w:rsidR="00F76E45" w:rsidRDefault="00F76E45" w:rsidP="001C3AD1">
            <w:pPr>
              <w:jc w:val="center"/>
              <w:rPr>
                <w:rFonts w:ascii="仿宋_GB2312" w:hAnsi="仿宋_GB2312" w:cs="仿宋_GB2312"/>
                <w:color w:val="000000"/>
                <w:szCs w:val="32"/>
              </w:rPr>
            </w:pPr>
            <w:r>
              <w:rPr>
                <w:rFonts w:ascii="仿宋_GB2312" w:hAnsi="仿宋_GB2312" w:cs="仿宋_GB2312" w:hint="eastAsia"/>
                <w:color w:val="000000"/>
                <w:szCs w:val="32"/>
              </w:rPr>
              <w:t>10分</w:t>
            </w:r>
          </w:p>
        </w:tc>
      </w:tr>
      <w:tr w:rsidR="00F76E45" w14:paraId="0F058399" w14:textId="77777777" w:rsidTr="001C3AD1">
        <w:trPr>
          <w:trHeight w:val="793"/>
          <w:jc w:val="center"/>
        </w:trPr>
        <w:tc>
          <w:tcPr>
            <w:tcW w:w="4046" w:type="pct"/>
            <w:gridSpan w:val="2"/>
            <w:vAlign w:val="center"/>
          </w:tcPr>
          <w:p w14:paraId="068CE38F" w14:textId="77777777" w:rsidR="00F76E45" w:rsidRDefault="00F76E45" w:rsidP="001C3AD1">
            <w:pPr>
              <w:rPr>
                <w:rFonts w:ascii="仿宋_GB2312" w:hAnsi="仿宋_GB2312" w:cs="仿宋_GB2312"/>
                <w:color w:val="000000"/>
                <w:szCs w:val="32"/>
              </w:rPr>
            </w:pPr>
            <w:r>
              <w:rPr>
                <w:rFonts w:ascii="仿宋_GB2312" w:hAnsi="仿宋_GB2312" w:cs="仿宋_GB2312" w:hint="eastAsia"/>
                <w:b/>
                <w:bCs/>
                <w:color w:val="000000"/>
                <w:szCs w:val="32"/>
              </w:rPr>
              <w:t>总分</w:t>
            </w:r>
          </w:p>
        </w:tc>
        <w:tc>
          <w:tcPr>
            <w:tcW w:w="954" w:type="pct"/>
            <w:vAlign w:val="center"/>
          </w:tcPr>
          <w:p w14:paraId="6602A875" w14:textId="77777777" w:rsidR="00F76E45" w:rsidRDefault="00F76E45" w:rsidP="001C3AD1">
            <w:pPr>
              <w:jc w:val="center"/>
              <w:rPr>
                <w:rFonts w:ascii="仿宋_GB2312" w:hAnsi="仿宋_GB2312" w:cs="仿宋_GB2312"/>
                <w:color w:val="000000"/>
                <w:szCs w:val="32"/>
              </w:rPr>
            </w:pPr>
            <w:r>
              <w:rPr>
                <w:rFonts w:ascii="仿宋_GB2312" w:hAnsi="仿宋_GB2312" w:cs="仿宋_GB2312" w:hint="eastAsia"/>
                <w:color w:val="000000"/>
                <w:szCs w:val="32"/>
              </w:rPr>
              <w:t>100分</w:t>
            </w:r>
          </w:p>
        </w:tc>
      </w:tr>
      <w:tr w:rsidR="00F76E45" w14:paraId="2DE61BF2" w14:textId="77777777" w:rsidTr="001C3AD1">
        <w:trPr>
          <w:trHeight w:val="1775"/>
          <w:jc w:val="center"/>
        </w:trPr>
        <w:tc>
          <w:tcPr>
            <w:tcW w:w="669" w:type="pct"/>
            <w:vAlign w:val="center"/>
          </w:tcPr>
          <w:p w14:paraId="5AF1691F" w14:textId="77777777" w:rsidR="00F76E45" w:rsidRDefault="00F76E45" w:rsidP="001C3AD1">
            <w:pPr>
              <w:rPr>
                <w:rFonts w:ascii="仿宋_GB2312" w:hAnsi="仿宋_GB2312" w:cs="仿宋_GB2312"/>
                <w:color w:val="000000"/>
                <w:szCs w:val="32"/>
              </w:rPr>
            </w:pPr>
            <w:r>
              <w:rPr>
                <w:rFonts w:ascii="仿宋_GB2312" w:hAnsi="仿宋_GB2312" w:cs="仿宋_GB2312" w:hint="eastAsia"/>
                <w:b/>
                <w:bCs/>
                <w:color w:val="000000"/>
                <w:szCs w:val="32"/>
              </w:rPr>
              <w:t>备注</w:t>
            </w:r>
            <w:r>
              <w:rPr>
                <w:rFonts w:ascii="仿宋_GB2312" w:hAnsi="仿宋_GB2312" w:cs="仿宋_GB2312" w:hint="eastAsia"/>
                <w:color w:val="000000"/>
                <w:szCs w:val="32"/>
              </w:rPr>
              <w:t>：</w:t>
            </w:r>
          </w:p>
        </w:tc>
        <w:tc>
          <w:tcPr>
            <w:tcW w:w="4331" w:type="pct"/>
            <w:gridSpan w:val="2"/>
            <w:vAlign w:val="center"/>
          </w:tcPr>
          <w:p w14:paraId="7A5AA3A6" w14:textId="77777777" w:rsidR="00F76E45" w:rsidRDefault="00F76E45" w:rsidP="001C3AD1">
            <w:pPr>
              <w:rPr>
                <w:rFonts w:ascii="仿宋_GB2312" w:hAnsi="仿宋_GB2312" w:cs="仿宋_GB2312"/>
                <w:color w:val="000000"/>
                <w:szCs w:val="32"/>
              </w:rPr>
            </w:pPr>
            <w:r>
              <w:rPr>
                <w:rFonts w:ascii="仿宋_GB2312" w:hAnsi="仿宋_GB2312" w:cs="仿宋_GB2312" w:hint="eastAsia"/>
                <w:color w:val="000000"/>
                <w:szCs w:val="32"/>
              </w:rPr>
              <w:t>1.评分时总分建议不低于70分，评分取整，不用精确到小数点后；</w:t>
            </w:r>
          </w:p>
          <w:p w14:paraId="02450BE6" w14:textId="77777777" w:rsidR="00F76E45" w:rsidRDefault="00F76E45" w:rsidP="001C3AD1">
            <w:pPr>
              <w:rPr>
                <w:rFonts w:ascii="仿宋_GB2312" w:hAnsi="仿宋_GB2312" w:cs="仿宋_GB2312"/>
                <w:color w:val="000000"/>
                <w:szCs w:val="32"/>
              </w:rPr>
            </w:pPr>
            <w:r>
              <w:rPr>
                <w:rFonts w:ascii="仿宋_GB2312" w:hAnsi="仿宋_GB2312" w:cs="仿宋_GB2312" w:hint="eastAsia"/>
                <w:color w:val="000000"/>
                <w:szCs w:val="32"/>
              </w:rPr>
              <w:t>2.讲演时长及其它相关细节可由各承办单位结合入围选手数量实际自行进行调整</w:t>
            </w:r>
          </w:p>
        </w:tc>
      </w:tr>
    </w:tbl>
    <w:p w14:paraId="14C485BB" w14:textId="77777777" w:rsidR="001B4BB0" w:rsidRPr="00F76E45" w:rsidRDefault="001B4BB0"/>
    <w:sectPr w:rsidR="001B4BB0" w:rsidRPr="00F76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1F969" w14:textId="77777777" w:rsidR="00F44514" w:rsidRDefault="00F44514" w:rsidP="00857F9B">
      <w:pPr>
        <w:spacing w:line="240" w:lineRule="auto"/>
      </w:pPr>
      <w:r>
        <w:separator/>
      </w:r>
    </w:p>
  </w:endnote>
  <w:endnote w:type="continuationSeparator" w:id="0">
    <w:p w14:paraId="53570249" w14:textId="77777777" w:rsidR="00F44514" w:rsidRDefault="00F44514" w:rsidP="00857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FZXiaoBiaoSong-B05S">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A2C7B" w14:textId="77777777" w:rsidR="00F44514" w:rsidRDefault="00F44514" w:rsidP="00857F9B">
      <w:pPr>
        <w:spacing w:line="240" w:lineRule="auto"/>
      </w:pPr>
      <w:r>
        <w:separator/>
      </w:r>
    </w:p>
  </w:footnote>
  <w:footnote w:type="continuationSeparator" w:id="0">
    <w:p w14:paraId="730E4B9B" w14:textId="77777777" w:rsidR="00F44514" w:rsidRDefault="00F44514" w:rsidP="00857F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45"/>
    <w:rsid w:val="000E5EA1"/>
    <w:rsid w:val="001B4BB0"/>
    <w:rsid w:val="001C3AD1"/>
    <w:rsid w:val="0030254D"/>
    <w:rsid w:val="0069680D"/>
    <w:rsid w:val="00857F9B"/>
    <w:rsid w:val="0092405A"/>
    <w:rsid w:val="00F37B0E"/>
    <w:rsid w:val="00F44514"/>
    <w:rsid w:val="00F7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01C29"/>
  <w15:chartTrackingRefBased/>
  <w15:docId w15:val="{E9FB8601-EF50-4482-A315-708D8BC3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E45"/>
    <w:pPr>
      <w:widowControl w:val="0"/>
      <w:spacing w:line="52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E4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57F9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857F9B"/>
    <w:rPr>
      <w:rFonts w:eastAsia="仿宋_GB2312"/>
      <w:sz w:val="18"/>
      <w:szCs w:val="18"/>
    </w:rPr>
  </w:style>
  <w:style w:type="paragraph" w:styleId="a5">
    <w:name w:val="footer"/>
    <w:basedOn w:val="a"/>
    <w:link w:val="Char0"/>
    <w:uiPriority w:val="99"/>
    <w:unhideWhenUsed/>
    <w:rsid w:val="00857F9B"/>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857F9B"/>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兆洋</dc:creator>
  <cp:keywords/>
  <dc:description/>
  <cp:lastModifiedBy>陈 星羽</cp:lastModifiedBy>
  <cp:revision>5</cp:revision>
  <dcterms:created xsi:type="dcterms:W3CDTF">2020-10-28T08:13:00Z</dcterms:created>
  <dcterms:modified xsi:type="dcterms:W3CDTF">2020-11-01T05:14:00Z</dcterms:modified>
</cp:coreProperties>
</file>