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1F" w:rsidRDefault="00BF0F1F" w:rsidP="00BF0F1F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中南财经政法大学“十佳团日活动”</w:t>
      </w:r>
    </w:p>
    <w:p w:rsidR="00BF0F1F" w:rsidRPr="00A86F70" w:rsidRDefault="00BF0F1F" w:rsidP="00BF0F1F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风采展示活动</w:t>
      </w:r>
      <w:r w:rsidRPr="00A86F70">
        <w:rPr>
          <w:rFonts w:ascii="方正小标宋简体" w:eastAsia="方正小标宋简体" w:hint="eastAsia"/>
          <w:sz w:val="44"/>
          <w:szCs w:val="44"/>
        </w:rPr>
        <w:t>评分细则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31"/>
        <w:gridCol w:w="518"/>
        <w:gridCol w:w="1532"/>
        <w:gridCol w:w="7472"/>
        <w:gridCol w:w="850"/>
      </w:tblGrid>
      <w:tr w:rsidR="00525CFE" w:rsidTr="00FC23F7">
        <w:trPr>
          <w:trHeight w:val="501"/>
          <w:jc w:val="center"/>
        </w:trPr>
        <w:tc>
          <w:tcPr>
            <w:tcW w:w="2075" w:type="dxa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环节</w:t>
            </w: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评分项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评 分 标 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分值</w:t>
            </w:r>
          </w:p>
        </w:tc>
      </w:tr>
      <w:tr w:rsidR="00525CFE" w:rsidTr="00FC23F7">
        <w:trPr>
          <w:trHeight w:val="1012"/>
          <w:jc w:val="center"/>
        </w:trPr>
        <w:tc>
          <w:tcPr>
            <w:tcW w:w="2075" w:type="dxa"/>
            <w:vMerge w:val="restart"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支部成果介绍</w:t>
            </w:r>
          </w:p>
          <w:p w:rsidR="00525CFE" w:rsidRPr="00525CFE" w:rsidRDefault="00525CFE" w:rsidP="00FC23F7">
            <w:pPr>
              <w:spacing w:line="480" w:lineRule="exact"/>
              <w:ind w:firstLineChars="100" w:firstLine="301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（</w:t>
            </w:r>
            <w:r w:rsidRPr="00525CFE"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  <w:t>60</w:t>
            </w: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分）</w:t>
            </w: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主题与内容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BF0F1F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以支部理论学习组织及学习实践转化情况为主要依据，以“学思用贯通，知信行统一”为标准导向，要求各支部有效结合2023年3月—6月、9月—10月中南财经政法大学主题团日活动指南，向广大师生全面展示支部组织活力、建设特色与亮点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25CFE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525CFE" w:rsidTr="00FC23F7">
        <w:trPr>
          <w:trHeight w:val="938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讲解与展示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讲解流利，表达清晰、准确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</w:tr>
      <w:tr w:rsidR="00525CFE" w:rsidTr="00FC23F7">
        <w:trPr>
          <w:trHeight w:val="1012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配合与辅助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多媒体形式新颖、内容丰富、材料充实，编排有序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525CFE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525CFE" w:rsidTr="00FC23F7">
        <w:trPr>
          <w:trHeight w:val="868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5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讲稿整体架构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0B1465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行文流畅、逻辑清晰、论述全面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25CFE" w:rsidTr="00FC23F7">
        <w:trPr>
          <w:trHeight w:val="1012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材料格式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BF0F1F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讲稿字数1</w:t>
            </w:r>
            <w:r w:rsidRPr="00525CFE">
              <w:rPr>
                <w:rFonts w:ascii="仿宋" w:eastAsia="仿宋" w:hAnsi="仿宋" w:cs="仿宋"/>
                <w:sz w:val="32"/>
                <w:szCs w:val="32"/>
              </w:rPr>
              <w:t>500</w:t>
            </w: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字以内，格式正确；视频时长5分钟内，文件格式M</w:t>
            </w:r>
            <w:r w:rsidRPr="00525CFE">
              <w:rPr>
                <w:rFonts w:ascii="仿宋" w:eastAsia="仿宋" w:hAnsi="仿宋" w:cs="仿宋"/>
                <w:sz w:val="32"/>
                <w:szCs w:val="32"/>
              </w:rPr>
              <w:t>P4</w:t>
            </w: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，画幅16:9（横屏），单个文件大小不超500M，画面清晰稳定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0962A7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525CFE" w:rsidTr="00FC23F7">
        <w:trPr>
          <w:trHeight w:val="838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校内推广产品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BF0F1F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cs="仿宋" w:hint="eastAsia"/>
                <w:sz w:val="32"/>
                <w:szCs w:val="32"/>
              </w:rPr>
              <w:t>包括但不限于推文、微视频等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525CFE" w:rsidTr="00FC23F7">
        <w:trPr>
          <w:trHeight w:val="763"/>
          <w:jc w:val="center"/>
        </w:trPr>
        <w:tc>
          <w:tcPr>
            <w:tcW w:w="2075" w:type="dxa"/>
            <w:vMerge w:val="restart"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支部风采展示</w:t>
            </w:r>
          </w:p>
          <w:p w:rsidR="00525CFE" w:rsidRPr="00525CFE" w:rsidRDefault="00525CFE" w:rsidP="00FC23F7">
            <w:pPr>
              <w:spacing w:line="480" w:lineRule="exact"/>
              <w:ind w:firstLineChars="100" w:firstLine="301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（</w:t>
            </w:r>
            <w:r w:rsidRPr="00525CFE"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  <w:t>40</w:t>
            </w: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分）</w:t>
            </w:r>
          </w:p>
        </w:tc>
        <w:tc>
          <w:tcPr>
            <w:tcW w:w="731" w:type="dxa"/>
            <w:vMerge w:val="restart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主题与内容</w:t>
            </w:r>
          </w:p>
        </w:tc>
        <w:tc>
          <w:tcPr>
            <w:tcW w:w="2050" w:type="dxa"/>
            <w:gridSpan w:val="2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展示讲稿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0B1465">
            <w:pPr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主题鲜明、时代感强，内容精彩生动、思考深刻，通过列举事例及故事充分表达真情实感，有较强的思想性和感染力。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203857" w:rsidP="00BF0F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</w:tr>
      <w:tr w:rsidR="00525CFE" w:rsidTr="00FC23F7">
        <w:trPr>
          <w:trHeight w:val="763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525CFE" w:rsidRPr="00525CFE" w:rsidRDefault="00525CFE" w:rsidP="000B1465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多媒体质量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视频、PPT等画质清晰，放映流畅，与讲稿内容紧密结合。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525CFE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525CFE" w:rsidTr="00FC23F7">
        <w:trPr>
          <w:trHeight w:val="763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BF0F1F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525CFE" w:rsidRPr="00525CFE" w:rsidRDefault="00525CFE" w:rsidP="000B1465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展示人</w:t>
            </w:r>
          </w:p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精神面貌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支部整体昂扬向上，精神面貌良好。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CA09CF" w:rsidP="00BF0F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525CFE" w:rsidTr="00FC23F7">
        <w:trPr>
          <w:trHeight w:val="763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其他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展示时长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时长把控良好，不超过</w:t>
            </w:r>
            <w:r w:rsidR="003E2698">
              <w:rPr>
                <w:rFonts w:ascii="仿宋" w:eastAsia="仿宋" w:hAnsi="仿宋"/>
                <w:sz w:val="32"/>
                <w:szCs w:val="32"/>
              </w:rPr>
              <w:t>6</w:t>
            </w:r>
            <w:r w:rsidRPr="00525CFE">
              <w:rPr>
                <w:rFonts w:ascii="仿宋" w:eastAsia="仿宋" w:hAnsi="仿宋" w:hint="eastAsia"/>
                <w:sz w:val="32"/>
                <w:szCs w:val="32"/>
              </w:rPr>
              <w:t>分钟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25CFE" w:rsidTr="00FC23F7">
        <w:trPr>
          <w:trHeight w:val="763"/>
          <w:jc w:val="center"/>
        </w:trPr>
        <w:tc>
          <w:tcPr>
            <w:tcW w:w="2075" w:type="dxa"/>
            <w:vMerge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731" w:type="dxa"/>
            <w:vMerge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18" w:type="dxa"/>
            <w:vMerge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0"/>
                <w:szCs w:val="30"/>
              </w:rPr>
            </w:pPr>
            <w:r w:rsidRPr="00525CFE">
              <w:rPr>
                <w:rFonts w:ascii="黑体" w:eastAsia="黑体" w:hAnsi="黑体" w:cs="宋体" w:hint="eastAsia"/>
                <w:b/>
                <w:bCs/>
                <w:kern w:val="0"/>
                <w:sz w:val="30"/>
                <w:szCs w:val="30"/>
              </w:rPr>
              <w:t>整体质量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525CFE" w:rsidRPr="00525CFE" w:rsidRDefault="00525CFE" w:rsidP="00525CFE">
            <w:pPr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整体支部展示有深度，引发现场共鸣，展示效果良好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5CFE" w:rsidRPr="00525CFE" w:rsidRDefault="00525CFE" w:rsidP="00525CF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5CFE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</w:tbl>
    <w:p w:rsidR="00C22781" w:rsidRDefault="00C22781" w:rsidP="00FC23F7"/>
    <w:sectPr w:rsidR="00C22781" w:rsidSect="00FC23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C3" w:rsidRDefault="001F42C3" w:rsidP="00BF0F1F">
      <w:r>
        <w:separator/>
      </w:r>
    </w:p>
  </w:endnote>
  <w:endnote w:type="continuationSeparator" w:id="0">
    <w:p w:rsidR="001F42C3" w:rsidRDefault="001F42C3" w:rsidP="00B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C3" w:rsidRDefault="001F42C3" w:rsidP="00BF0F1F">
      <w:r>
        <w:separator/>
      </w:r>
    </w:p>
  </w:footnote>
  <w:footnote w:type="continuationSeparator" w:id="0">
    <w:p w:rsidR="001F42C3" w:rsidRDefault="001F42C3" w:rsidP="00BF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2E"/>
    <w:rsid w:val="0001012E"/>
    <w:rsid w:val="000321EF"/>
    <w:rsid w:val="000B1465"/>
    <w:rsid w:val="001F42C3"/>
    <w:rsid w:val="00203857"/>
    <w:rsid w:val="00393F2A"/>
    <w:rsid w:val="003E2698"/>
    <w:rsid w:val="004A5015"/>
    <w:rsid w:val="00505151"/>
    <w:rsid w:val="00525CFE"/>
    <w:rsid w:val="00604B8C"/>
    <w:rsid w:val="007167CC"/>
    <w:rsid w:val="009E2CFE"/>
    <w:rsid w:val="00A126CF"/>
    <w:rsid w:val="00BF0F1F"/>
    <w:rsid w:val="00C22781"/>
    <w:rsid w:val="00CA09CF"/>
    <w:rsid w:val="00DD6E5E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5CAC2"/>
  <w15:chartTrackingRefBased/>
  <w15:docId w15:val="{1102E1C5-9054-408C-905C-D4757BAA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1F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90E6-2012-444A-A7B1-A57DEA84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NoelleCccy</dc:creator>
  <cp:keywords/>
  <dc:description/>
  <cp:lastModifiedBy>NoelleCccy</cp:lastModifiedBy>
  <cp:revision>2</cp:revision>
  <dcterms:created xsi:type="dcterms:W3CDTF">2023-11-25T05:49:00Z</dcterms:created>
  <dcterms:modified xsi:type="dcterms:W3CDTF">2023-11-25T05:49:00Z</dcterms:modified>
</cp:coreProperties>
</file>