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70"/>
        </w:tabs>
        <w:jc w:val="left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附件2</w:t>
      </w:r>
    </w:p>
    <w:p>
      <w:pPr>
        <w:widowControl/>
        <w:spacing w:before="156" w:beforeLines="50" w:after="156" w:afterLines="50"/>
        <w:ind w:right="204"/>
        <w:jc w:val="center"/>
        <w:rPr>
          <w:rFonts w:ascii="方正小标宋简体" w:hAnsi="仿宋" w:eastAsia="方正小标宋简体" w:cs="Times New Roman"/>
          <w:b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b/>
          <w:bCs/>
          <w:kern w:val="0"/>
          <w:sz w:val="36"/>
          <w:szCs w:val="36"/>
        </w:rPr>
        <w:t>中南财经政法大学优秀社团指导教师评</w:t>
      </w:r>
      <w:r>
        <w:rPr>
          <w:rFonts w:hint="eastAsia" w:ascii="方正小标宋简体" w:hAnsi="仿宋" w:eastAsia="方正小标宋简体" w:cs="Times New Roman"/>
          <w:b/>
          <w:bCs/>
          <w:kern w:val="0"/>
          <w:sz w:val="36"/>
          <w:szCs w:val="36"/>
          <w:lang w:eastAsia="zh-CN"/>
        </w:rPr>
        <w:t>优</w:t>
      </w:r>
      <w:r>
        <w:rPr>
          <w:rFonts w:hint="eastAsia" w:ascii="方正小标宋简体" w:hAnsi="仿宋" w:eastAsia="方正小标宋简体" w:cs="Times New Roman"/>
          <w:b/>
          <w:bCs/>
          <w:kern w:val="0"/>
          <w:sz w:val="36"/>
          <w:szCs w:val="36"/>
        </w:rPr>
        <w:t>细则</w:t>
      </w:r>
    </w:p>
    <w:p>
      <w:pPr>
        <w:widowControl/>
        <w:spacing w:before="156" w:beforeLines="50" w:after="156" w:afterLines="50"/>
        <w:ind w:right="204"/>
        <w:jc w:val="center"/>
        <w:rPr>
          <w:rFonts w:ascii="仿宋" w:hAnsi="仿宋" w:eastAsia="仿宋"/>
          <w:b/>
          <w:sz w:val="24"/>
          <w:szCs w:val="28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460" w:lineRule="exact"/>
        <w:ind w:left="0" w:right="204" w:firstLine="0"/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总则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第一条 为全面贯彻校团委的指导方针，加强指导教师与学生社团的联系，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与广大学生共同繁荣校园文化</w:t>
      </w:r>
      <w:r>
        <w:rPr>
          <w:rFonts w:hint="eastAsia" w:ascii="仿宋_GB2312" w:hAnsi="仿宋" w:eastAsia="仿宋_GB2312"/>
          <w:sz w:val="28"/>
          <w:szCs w:val="28"/>
        </w:rPr>
        <w:t>，促进学生的全面发展，根据《中南财经政法大学学生社团管理办法（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2016年</w:t>
      </w:r>
      <w:r>
        <w:rPr>
          <w:rFonts w:hint="eastAsia" w:ascii="仿宋_GB2312" w:hAnsi="仿宋" w:eastAsia="仿宋_GB2312"/>
          <w:sz w:val="28"/>
          <w:szCs w:val="28"/>
        </w:rPr>
        <w:t>修订）》，特制定本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评优</w:t>
      </w:r>
      <w:r>
        <w:rPr>
          <w:rFonts w:hint="eastAsia" w:ascii="仿宋_GB2312" w:hAnsi="仿宋" w:eastAsia="仿宋_GB2312"/>
          <w:sz w:val="28"/>
          <w:szCs w:val="28"/>
        </w:rPr>
        <w:t>细则。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第二条</w:t>
      </w:r>
      <w:r>
        <w:rPr>
          <w:rFonts w:hint="eastAsia" w:ascii="仿宋_GB2312" w:hAnsi="仿宋" w:eastAsia="仿宋_GB2312" w:cs="Times New Roman"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优秀社团指导教师评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工作在校团委的指导下由中南财经政法大学学生社团联合会（以下简称学生社联）具体施行，评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遵循公平、公正、公开的原则，接受全校广大师生的监督，各学生社团须积极配合学生社联开展工作。</w:t>
      </w:r>
    </w:p>
    <w:p>
      <w:pPr>
        <w:widowControl/>
        <w:numPr>
          <w:ilvl w:val="0"/>
          <w:numId w:val="1"/>
        </w:numPr>
        <w:spacing w:before="156" w:beforeLines="50" w:after="156" w:afterLines="50" w:line="460" w:lineRule="exact"/>
        <w:ind w:left="0" w:right="204" w:firstLine="0"/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</w:rPr>
        <w:t>评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</w:rPr>
        <w:t>办法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第三条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优秀社团指导教师</w:t>
      </w:r>
      <w:r>
        <w:rPr>
          <w:rFonts w:hint="eastAsia" w:ascii="仿宋_GB2312" w:hAnsi="仿宋" w:eastAsia="仿宋_GB2312"/>
          <w:sz w:val="28"/>
          <w:szCs w:val="28"/>
        </w:rPr>
        <w:t>的评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/>
          <w:sz w:val="28"/>
          <w:szCs w:val="28"/>
        </w:rPr>
        <w:t>对象为各学生社团在任指导教师。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参与优秀社团指导教师评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须具备以下条件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坚持四项基本原则</w:t>
      </w:r>
      <w:r>
        <w:rPr>
          <w:rFonts w:hint="eastAsia" w:ascii="仿宋_GB2312" w:hAnsi="仿宋" w:eastAsia="仿宋_GB2312"/>
          <w:sz w:val="28"/>
          <w:szCs w:val="28"/>
        </w:rPr>
        <w:t>，遵守国家法律法规及各项政策；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遵守学校各项规章制度</w:t>
      </w:r>
      <w:r>
        <w:rPr>
          <w:rFonts w:hint="eastAsia" w:ascii="仿宋_GB2312" w:hAnsi="仿宋" w:eastAsia="仿宋_GB2312"/>
          <w:sz w:val="28"/>
          <w:szCs w:val="28"/>
        </w:rPr>
        <w:t>，无有损教师形象的违纪行为；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教学态度严谨</w:t>
      </w:r>
      <w:r>
        <w:rPr>
          <w:rFonts w:hint="eastAsia" w:ascii="仿宋_GB2312" w:hAnsi="仿宋" w:eastAsia="仿宋_GB2312"/>
          <w:sz w:val="28"/>
          <w:szCs w:val="28"/>
        </w:rPr>
        <w:t>，指导能力出色，在学术研究方面表现积极；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（四）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所指导的学生社团成立须达到一学年以上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且无违规违纪现象发生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未受过通告批评等处罚。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第四条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优秀社团指导教师由各学生社团民主推选产生</w:t>
      </w:r>
      <w:r>
        <w:rPr>
          <w:rFonts w:hint="eastAsia" w:ascii="仿宋_GB2312" w:hAnsi="仿宋" w:eastAsia="仿宋_GB2312"/>
          <w:sz w:val="28"/>
          <w:szCs w:val="28"/>
        </w:rPr>
        <w:t>，每学年每个社团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推选</w:t>
      </w:r>
      <w:r>
        <w:rPr>
          <w:rFonts w:hint="eastAsia" w:ascii="仿宋_GB2312" w:hAnsi="仿宋" w:eastAsia="仿宋_GB2312"/>
          <w:sz w:val="28"/>
          <w:szCs w:val="28"/>
        </w:rPr>
        <w:t>出一名优秀社团指导教师的候选人。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第五条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优秀社团指导教师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评优工作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每学年一次</w:t>
      </w:r>
      <w:r>
        <w:rPr>
          <w:rFonts w:hint="eastAsia" w:ascii="仿宋_GB2312" w:hAnsi="仿宋" w:eastAsia="仿宋_GB2312"/>
          <w:sz w:val="28"/>
          <w:szCs w:val="28"/>
        </w:rPr>
        <w:t>，评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/>
          <w:sz w:val="28"/>
          <w:szCs w:val="28"/>
        </w:rPr>
        <w:t>时间为每学年的第二学期。学生社联将提前公布评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/>
          <w:sz w:val="28"/>
          <w:szCs w:val="28"/>
        </w:rPr>
        <w:t>的具体时间和流程。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第六条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优秀社团指导教师评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实行社团推荐和学生社联考核相结合的办法</w:t>
      </w:r>
      <w:r>
        <w:rPr>
          <w:rFonts w:hint="eastAsia" w:ascii="仿宋_GB2312" w:hAnsi="仿宋" w:eastAsia="仿宋_GB2312"/>
          <w:sz w:val="28"/>
          <w:szCs w:val="28"/>
        </w:rPr>
        <w:t>，必要时将对指导教师进行实地走访。</w:t>
      </w:r>
    </w:p>
    <w:p>
      <w:pPr>
        <w:widowControl/>
        <w:numPr>
          <w:ilvl w:val="0"/>
          <w:numId w:val="1"/>
        </w:numPr>
        <w:spacing w:before="156" w:beforeLines="50" w:after="156" w:afterLines="50" w:line="460" w:lineRule="exact"/>
        <w:ind w:left="0" w:right="204" w:firstLine="0"/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</w:rPr>
        <w:t>评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</w:rPr>
        <w:t>程序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第七条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评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程序分为社团推荐和学生社联考核两个阶段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第八条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学生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社团推荐程序如下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widowControl/>
        <w:spacing w:line="460" w:lineRule="exact"/>
        <w:ind w:left="-899" w:leftChars="-428" w:right="-105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（一）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优秀社团指导教师的评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与社团的评优挂钩</w:t>
      </w:r>
      <w:r>
        <w:rPr>
          <w:rFonts w:hint="eastAsia" w:ascii="仿宋_GB2312" w:hAnsi="仿宋" w:eastAsia="仿宋_GB2312"/>
          <w:sz w:val="28"/>
          <w:szCs w:val="28"/>
        </w:rPr>
        <w:t>，各学生社团参照评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/>
          <w:sz w:val="28"/>
          <w:szCs w:val="28"/>
        </w:rPr>
        <w:t>标准，在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学生</w:t>
      </w:r>
      <w:r>
        <w:rPr>
          <w:rFonts w:hint="eastAsia" w:ascii="仿宋_GB2312" w:hAnsi="仿宋" w:eastAsia="仿宋_GB2312"/>
          <w:sz w:val="28"/>
          <w:szCs w:val="28"/>
        </w:rPr>
        <w:t>社团内部按照公平、公正、公开的原则进行民主投票，推选出一名本社团的优秀社团指导教师候选人；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各学生社团将本社团的优秀社团指导教师申报表上交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至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学生社联</w:t>
      </w:r>
      <w:r>
        <w:rPr>
          <w:rFonts w:hint="eastAsia" w:ascii="仿宋_GB2312" w:hAnsi="仿宋" w:eastAsia="仿宋_GB2312"/>
          <w:sz w:val="28"/>
          <w:szCs w:val="28"/>
        </w:rPr>
        <w:t>，并附上个人材料和社团推荐材料。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第九条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学生社联考核程序如下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学生社联根据各学生社团上交的名单及相关材料</w:t>
      </w:r>
      <w:r>
        <w:rPr>
          <w:rFonts w:hint="eastAsia" w:ascii="仿宋_GB2312" w:hAnsi="仿宋" w:eastAsia="仿宋_GB2312"/>
          <w:sz w:val="28"/>
          <w:szCs w:val="28"/>
        </w:rPr>
        <w:t>，对名单进行调查核实；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学生社联根据评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标准</w:t>
      </w:r>
      <w:r>
        <w:rPr>
          <w:rFonts w:hint="eastAsia" w:ascii="仿宋_GB2312" w:hAnsi="仿宋" w:eastAsia="仿宋_GB2312"/>
          <w:sz w:val="28"/>
          <w:szCs w:val="28"/>
        </w:rPr>
        <w:t>，结合各学生社团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工作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实际及上报的相关材料对候选人进行综合考评；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学生社联将优秀社团指导教师名单上报校团委审批后进行公示</w:t>
      </w:r>
      <w:r>
        <w:rPr>
          <w:rFonts w:hint="eastAsia" w:ascii="仿宋_GB2312" w:hAnsi="仿宋" w:eastAsia="仿宋_GB2312"/>
          <w:sz w:val="28"/>
          <w:szCs w:val="28"/>
        </w:rPr>
        <w:t>，并在公示期满后进行表彰。</w:t>
      </w:r>
    </w:p>
    <w:p>
      <w:pPr>
        <w:widowControl/>
        <w:numPr>
          <w:ilvl w:val="0"/>
          <w:numId w:val="1"/>
        </w:numPr>
        <w:spacing w:before="156" w:beforeLines="50" w:after="156" w:afterLines="50" w:line="460" w:lineRule="exact"/>
        <w:ind w:left="0" w:right="204" w:firstLine="0"/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</w:rPr>
        <w:t>评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</w:rPr>
        <w:t>细则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第十条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评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内容包括社团建设</w:t>
      </w:r>
      <w:r>
        <w:rPr>
          <w:rFonts w:hint="eastAsia" w:ascii="仿宋_GB2312" w:hAnsi="仿宋" w:eastAsia="仿宋_GB2312"/>
          <w:sz w:val="28"/>
          <w:szCs w:val="28"/>
        </w:rPr>
        <w:t>、活动指导、社团获奖情况、社团成员对指导教师的评价四个方面。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第十一条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社团建设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本人或组织相关人员为所指导的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学生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社团进行专业知识的讲座或培训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关心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学生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社团发展</w:t>
      </w:r>
      <w:r>
        <w:rPr>
          <w:rFonts w:hint="eastAsia" w:ascii="仿宋_GB2312" w:hAnsi="仿宋" w:eastAsia="仿宋_GB2312"/>
          <w:sz w:val="28"/>
          <w:szCs w:val="28"/>
        </w:rPr>
        <w:t>，指导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学生</w:t>
      </w:r>
      <w:r>
        <w:rPr>
          <w:rFonts w:hint="eastAsia" w:ascii="仿宋_GB2312" w:hAnsi="仿宋" w:eastAsia="仿宋_GB2312"/>
          <w:sz w:val="28"/>
          <w:szCs w:val="28"/>
        </w:rPr>
        <w:t>社团制定关于社团发展、社团运作的规章制度以及工作计划，确定工作重点并做好总结；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参加所指导社团举行的会议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（四）加强与学生的联系，指导学生解决在社团工作中遇到的困难和问题，维护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学生</w:t>
      </w:r>
      <w:r>
        <w:rPr>
          <w:rFonts w:hint="eastAsia" w:ascii="仿宋_GB2312" w:hAnsi="仿宋" w:eastAsia="仿宋_GB2312"/>
          <w:sz w:val="28"/>
          <w:szCs w:val="28"/>
        </w:rPr>
        <w:t>社团正当权益。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第十二条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活动指导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指导学生社团实施大学生素质拓展计划</w:t>
      </w:r>
      <w:r>
        <w:rPr>
          <w:rFonts w:hint="eastAsia" w:ascii="仿宋_GB2312" w:hAnsi="仿宋" w:eastAsia="仿宋_GB2312"/>
          <w:sz w:val="28"/>
          <w:szCs w:val="28"/>
        </w:rPr>
        <w:t>，积极组织或参加校内外各项竞赛及活动。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第十三条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社团获奖情况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指导学生社团参加校内外各项活动的获奖情况</w:t>
      </w:r>
      <w:r>
        <w:rPr>
          <w:rFonts w:hint="eastAsia" w:ascii="仿宋_GB2312" w:hAnsi="仿宋" w:eastAsia="仿宋_GB2312"/>
          <w:sz w:val="28"/>
          <w:szCs w:val="28"/>
        </w:rPr>
        <w:t>，以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其所</w:t>
      </w:r>
      <w:r>
        <w:rPr>
          <w:rFonts w:hint="eastAsia" w:ascii="仿宋_GB2312" w:hAnsi="仿宋" w:eastAsia="仿宋_GB2312"/>
          <w:sz w:val="28"/>
          <w:szCs w:val="28"/>
        </w:rPr>
        <w:t>获得的荣誉证书、奖杯等为准。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第十四条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社团成员对指导教师的评价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社团负责人结合社团指导教师对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学生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社团的管理和指导情况进行综合评定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spacing w:before="156" w:beforeLines="50" w:after="156" w:afterLines="50" w:line="460" w:lineRule="exact"/>
        <w:ind w:left="0" w:right="204" w:firstLine="0"/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</w:rPr>
        <w:t>评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</w:rPr>
        <w:t>结果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第十五条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对拟定的优秀社团指导教师名单进行公示</w:t>
      </w:r>
      <w:r>
        <w:rPr>
          <w:rFonts w:hint="eastAsia" w:ascii="仿宋_GB2312" w:hAnsi="仿宋" w:eastAsia="仿宋_GB2312"/>
          <w:sz w:val="28"/>
          <w:szCs w:val="28"/>
        </w:rPr>
        <w:t>，接受广大师生的监督及投诉。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第十六条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公示期满后</w:t>
      </w:r>
      <w:r>
        <w:rPr>
          <w:rFonts w:hint="eastAsia" w:ascii="仿宋_GB2312" w:hAnsi="仿宋" w:eastAsia="仿宋_GB2312"/>
          <w:sz w:val="28"/>
          <w:szCs w:val="28"/>
        </w:rPr>
        <w:t>，校团委和学生社联将对优秀社团指导教师颁发荣誉证明。</w:t>
      </w:r>
    </w:p>
    <w:p>
      <w:pPr>
        <w:widowControl/>
        <w:numPr>
          <w:ilvl w:val="0"/>
          <w:numId w:val="1"/>
        </w:numPr>
        <w:spacing w:before="156" w:beforeLines="50" w:after="156" w:afterLines="50" w:line="460" w:lineRule="exact"/>
        <w:ind w:left="0" w:right="204" w:firstLine="0"/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仿宋" w:eastAsia="仿宋_GB2312" w:cs="Times New Roman"/>
          <w:b/>
          <w:kern w:val="0"/>
          <w:sz w:val="28"/>
          <w:szCs w:val="28"/>
        </w:rPr>
        <w:t>附  则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第十七条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本细则自颁布之日生效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第十八条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如在评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eastAsia="zh-CN"/>
        </w:rPr>
        <w:t>优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过程中出现争议或其他情况</w:t>
      </w:r>
      <w:r>
        <w:rPr>
          <w:rFonts w:hint="eastAsia" w:ascii="仿宋_GB2312" w:hAnsi="仿宋" w:eastAsia="仿宋_GB2312"/>
          <w:sz w:val="28"/>
          <w:szCs w:val="28"/>
        </w:rPr>
        <w:t>，由校团委教师及学生社联主席团另行讨论决定。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第十九条 </w:t>
      </w: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本细则的解释权归中南财经政法大学学生社团联合会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</w:p>
    <w:p>
      <w:pPr>
        <w:widowControl/>
        <w:spacing w:line="460" w:lineRule="exact"/>
        <w:ind w:left="-899" w:leftChars="-428" w:right="-1054" w:firstLine="627" w:firstLineChars="224"/>
        <w:jc w:val="left"/>
        <w:rPr>
          <w:rFonts w:ascii="仿宋_GB2312" w:hAnsi="仿宋" w:eastAsia="仿宋_GB2312"/>
          <w:sz w:val="28"/>
          <w:szCs w:val="28"/>
        </w:rPr>
      </w:pPr>
    </w:p>
    <w:p>
      <w:pPr>
        <w:widowControl/>
        <w:wordWrap w:val="0"/>
        <w:spacing w:line="460" w:lineRule="exact"/>
        <w:ind w:left="-899" w:leftChars="-428" w:right="-1054" w:firstLine="627" w:firstLineChars="224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共青团中南财经政法大学委员会        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中南财经政法大学学生社团联合会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二</w:t>
      </w:r>
      <w:r>
        <w:rPr>
          <w:rFonts w:hint="eastAsia" w:ascii="微软雅黑" w:hAnsi="微软雅黑" w:eastAsia="微软雅黑" w:cs="微软雅黑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一七年三</w:t>
      </w:r>
      <w:r>
        <w:rPr>
          <w:rFonts w:hint="eastAsia" w:ascii="仿宋_GB2312" w:hAnsi="仿宋" w:eastAsia="仿宋_GB2312"/>
          <w:sz w:val="28"/>
          <w:szCs w:val="28"/>
        </w:rPr>
        <w:t xml:space="preserve">月二十八日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>
      <w:pPr>
        <w:ind w:right="-512" w:rightChars="-244" w:firstLine="236" w:firstLineChars="98"/>
        <w:jc w:val="center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优秀社团指导教师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申报表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 xml:space="preserve">               </w:t>
      </w:r>
    </w:p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协会名称 ：                         指导时长： </w:t>
      </w:r>
    </w:p>
    <w:tbl>
      <w:tblPr>
        <w:tblStyle w:val="5"/>
        <w:tblW w:w="82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720"/>
        <w:gridCol w:w="900"/>
        <w:gridCol w:w="90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所在院系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所获荣誉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leftChars="54" w:right="113" w:firstLine="600" w:firstLineChars="2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学生社团指导经历</w:t>
            </w:r>
          </w:p>
        </w:tc>
        <w:tc>
          <w:tcPr>
            <w:tcW w:w="7020" w:type="dxa"/>
            <w:gridSpan w:val="6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right="113"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社员评定</w:t>
            </w:r>
          </w:p>
        </w:tc>
        <w:tc>
          <w:tcPr>
            <w:tcW w:w="7020" w:type="dxa"/>
            <w:gridSpan w:val="6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所在院系意见</w:t>
            </w:r>
          </w:p>
        </w:tc>
        <w:tc>
          <w:tcPr>
            <w:tcW w:w="7020" w:type="dxa"/>
            <w:gridSpan w:val="6"/>
            <w:vAlign w:val="bottom"/>
          </w:tcPr>
          <w:p>
            <w:pPr>
              <w:ind w:right="640" w:firstLine="3600" w:firstLineChars="15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所在单位盖章：</w:t>
            </w:r>
          </w:p>
        </w:tc>
      </w:tr>
    </w:tbl>
    <w:p>
      <w:pPr>
        <w:ind w:firstLine="48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说明：此表请用黑色、蓝黑色钢笔或中性笔填写，字迹工整清晰。</w:t>
      </w:r>
    </w:p>
    <w:p>
      <w:pPr>
        <w:ind w:firstLine="480"/>
        <w:rPr>
          <w:rFonts w:ascii="仿宋" w:hAnsi="仿宋" w:eastAsia="仿宋" w:cs="Times New Roman"/>
          <w:sz w:val="24"/>
          <w:szCs w:val="24"/>
        </w:rPr>
      </w:pPr>
    </w:p>
    <w:p>
      <w:pPr>
        <w:ind w:firstLine="480"/>
        <w:rPr>
          <w:rFonts w:ascii="仿宋" w:hAnsi="仿宋" w:eastAsia="仿宋" w:cs="Times New Roman"/>
          <w:sz w:val="24"/>
          <w:szCs w:val="24"/>
        </w:rPr>
      </w:pPr>
    </w:p>
    <w:p>
      <w:pPr>
        <w:spacing w:line="400" w:lineRule="exact"/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中南财经政法大学学生社团联合会</w:t>
      </w:r>
    </w:p>
    <w:p>
      <w:pPr>
        <w:spacing w:line="400" w:lineRule="exact"/>
        <w:ind w:right="480" w:firstLine="5880" w:firstLineChars="245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二〇一七年三月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2D22"/>
    <w:multiLevelType w:val="multilevel"/>
    <w:tmpl w:val="36092D22"/>
    <w:lvl w:ilvl="0" w:tentative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B95"/>
    <w:rsid w:val="000536D0"/>
    <w:rsid w:val="00073E2E"/>
    <w:rsid w:val="00082698"/>
    <w:rsid w:val="000A7A46"/>
    <w:rsid w:val="00105F21"/>
    <w:rsid w:val="00116E3E"/>
    <w:rsid w:val="00141C17"/>
    <w:rsid w:val="001524C1"/>
    <w:rsid w:val="001D4C38"/>
    <w:rsid w:val="001D721E"/>
    <w:rsid w:val="00203019"/>
    <w:rsid w:val="00203AE6"/>
    <w:rsid w:val="00210604"/>
    <w:rsid w:val="00222041"/>
    <w:rsid w:val="002A52E3"/>
    <w:rsid w:val="002E7087"/>
    <w:rsid w:val="002F1954"/>
    <w:rsid w:val="00351B95"/>
    <w:rsid w:val="00353DB3"/>
    <w:rsid w:val="0045253A"/>
    <w:rsid w:val="00497287"/>
    <w:rsid w:val="004F6E38"/>
    <w:rsid w:val="004F6E47"/>
    <w:rsid w:val="005A2D32"/>
    <w:rsid w:val="005B630F"/>
    <w:rsid w:val="00612AAE"/>
    <w:rsid w:val="006A2AAB"/>
    <w:rsid w:val="006F00F2"/>
    <w:rsid w:val="00782D13"/>
    <w:rsid w:val="00785913"/>
    <w:rsid w:val="00794AAC"/>
    <w:rsid w:val="007B2973"/>
    <w:rsid w:val="00830CF7"/>
    <w:rsid w:val="00852A8E"/>
    <w:rsid w:val="0087614F"/>
    <w:rsid w:val="008B680F"/>
    <w:rsid w:val="0093042F"/>
    <w:rsid w:val="00930C8B"/>
    <w:rsid w:val="009C37D9"/>
    <w:rsid w:val="00A8525D"/>
    <w:rsid w:val="00AB289A"/>
    <w:rsid w:val="00AD5089"/>
    <w:rsid w:val="00B318FE"/>
    <w:rsid w:val="00B610BF"/>
    <w:rsid w:val="00B6478E"/>
    <w:rsid w:val="00B94CCB"/>
    <w:rsid w:val="00C42793"/>
    <w:rsid w:val="00CA55C5"/>
    <w:rsid w:val="00D45590"/>
    <w:rsid w:val="00D50A05"/>
    <w:rsid w:val="00D51B2A"/>
    <w:rsid w:val="00D748E1"/>
    <w:rsid w:val="00D8311A"/>
    <w:rsid w:val="00DB38E2"/>
    <w:rsid w:val="00DC1969"/>
    <w:rsid w:val="00DE4F87"/>
    <w:rsid w:val="00E177F5"/>
    <w:rsid w:val="00E30467"/>
    <w:rsid w:val="00EB59A0"/>
    <w:rsid w:val="00EF1BC5"/>
    <w:rsid w:val="00F8578D"/>
    <w:rsid w:val="00FE24FF"/>
    <w:rsid w:val="00FF0DAC"/>
    <w:rsid w:val="0A207629"/>
    <w:rsid w:val="0E4C4C26"/>
    <w:rsid w:val="202604BC"/>
    <w:rsid w:val="27440ABC"/>
    <w:rsid w:val="448F2060"/>
    <w:rsid w:val="53195C00"/>
    <w:rsid w:val="6C362BD2"/>
    <w:rsid w:val="6DA73B50"/>
    <w:rsid w:val="6E6627F7"/>
    <w:rsid w:val="75835E36"/>
    <w:rsid w:val="79C575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1FF60-5890-473F-9829-B8BD4514A3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263</Words>
  <Characters>1503</Characters>
  <Lines>12</Lines>
  <Paragraphs>3</Paragraphs>
  <ScaleCrop>false</ScaleCrop>
  <LinksUpToDate>false</LinksUpToDate>
  <CharactersWithSpaces>1763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2016-03-10T15:30:00Z</dcterms:created>
  <dc:creator>sony</dc:creator>
  <cp:lastModifiedBy>Administrator</cp:lastModifiedBy>
  <dcterms:modified xsi:type="dcterms:W3CDTF">2017-04-07T06:13:19Z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